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5DD" w:rsidRDefault="001525DD">
      <w:pPr>
        <w:pStyle w:val="Title"/>
      </w:pPr>
      <w:r>
        <w:t>CALENDAR ITEM</w:t>
      </w:r>
      <w:bookmarkStart w:id="0" w:name="QuickMark"/>
      <w:bookmarkEnd w:id="0"/>
    </w:p>
    <w:p w:rsidR="001525DD" w:rsidRDefault="001525DD">
      <w:pPr>
        <w:pStyle w:val="Subtitle"/>
      </w:pPr>
      <w:r>
        <w:t>C</w:t>
      </w:r>
      <w:r w:rsidR="005147DC">
        <w:t>41</w:t>
      </w:r>
    </w:p>
    <w:p w:rsidR="001525DD" w:rsidRDefault="001525DD">
      <w:pPr>
        <w:tabs>
          <w:tab w:val="left" w:pos="-1080"/>
          <w:tab w:val="left" w:pos="-720"/>
          <w:tab w:val="left" w:pos="0"/>
          <w:tab w:val="left" w:pos="720"/>
          <w:tab w:val="right" w:pos="9360"/>
        </w:tabs>
      </w:pPr>
      <w:r>
        <w:t>A</w:t>
      </w:r>
      <w:r>
        <w:tab/>
      </w:r>
      <w:r w:rsidR="002874E9">
        <w:t>1</w:t>
      </w:r>
      <w:r>
        <w:tab/>
      </w:r>
      <w:r w:rsidR="002874E9">
        <w:t>06/01/09</w:t>
      </w:r>
    </w:p>
    <w:p w:rsidR="001525DD" w:rsidRDefault="001525DD">
      <w:pPr>
        <w:tabs>
          <w:tab w:val="right" w:pos="9360"/>
        </w:tabs>
      </w:pPr>
      <w:r>
        <w:tab/>
      </w:r>
      <w:r w:rsidR="002874E9">
        <w:t>AD 528</w:t>
      </w:r>
    </w:p>
    <w:p w:rsidR="001525DD" w:rsidRDefault="001525DD">
      <w:pPr>
        <w:tabs>
          <w:tab w:val="left" w:pos="-1080"/>
          <w:tab w:val="left" w:pos="-720"/>
          <w:tab w:val="left" w:pos="0"/>
          <w:tab w:val="left" w:pos="720"/>
          <w:tab w:val="right" w:pos="9360"/>
        </w:tabs>
      </w:pPr>
      <w:r>
        <w:t>S</w:t>
      </w:r>
      <w:r>
        <w:tab/>
      </w:r>
      <w:r w:rsidR="002874E9">
        <w:t>2</w:t>
      </w:r>
      <w:r>
        <w:tab/>
      </w:r>
      <w:r w:rsidR="002874E9">
        <w:t>J. Porter</w:t>
      </w:r>
    </w:p>
    <w:p w:rsidR="002874E9" w:rsidRDefault="002874E9">
      <w:pPr>
        <w:tabs>
          <w:tab w:val="left" w:pos="-1080"/>
          <w:tab w:val="left" w:pos="-720"/>
          <w:tab w:val="left" w:pos="0"/>
          <w:tab w:val="left" w:pos="720"/>
          <w:tab w:val="right" w:pos="9360"/>
        </w:tabs>
      </w:pPr>
      <w:r>
        <w:tab/>
      </w:r>
      <w:r>
        <w:tab/>
        <w:t>J. Frey</w:t>
      </w:r>
    </w:p>
    <w:p w:rsidR="001525DD" w:rsidRDefault="001525DD">
      <w:pPr>
        <w:tabs>
          <w:tab w:val="left" w:pos="-1080"/>
          <w:tab w:val="left" w:pos="-720"/>
          <w:tab w:val="left" w:pos="0"/>
          <w:tab w:val="left" w:pos="5040"/>
        </w:tabs>
      </w:pPr>
    </w:p>
    <w:p w:rsidR="00A86D83" w:rsidRDefault="001525DD">
      <w:pPr>
        <w:pStyle w:val="Heading2"/>
        <w:tabs>
          <w:tab w:val="center" w:pos="4680"/>
          <w:tab w:val="right" w:pos="9360"/>
        </w:tabs>
      </w:pPr>
      <w:r>
        <w:t>A</w:t>
      </w:r>
      <w:r w:rsidR="002874E9">
        <w:t>UTHORIZE</w:t>
      </w:r>
      <w:r w:rsidR="00A86D83">
        <w:t>, AS SCHOOL LAND BANK TRUSTEE,</w:t>
      </w:r>
    </w:p>
    <w:p w:rsidR="001525DD" w:rsidRDefault="002874E9">
      <w:pPr>
        <w:pStyle w:val="Heading2"/>
        <w:tabs>
          <w:tab w:val="center" w:pos="4680"/>
          <w:tab w:val="right" w:pos="9360"/>
        </w:tabs>
      </w:pPr>
      <w:r>
        <w:t>THE ISSUANCE OF A CORRECTED PATENT</w:t>
      </w:r>
    </w:p>
    <w:p w:rsidR="001525DD" w:rsidRDefault="001525DD">
      <w:pPr>
        <w:tabs>
          <w:tab w:val="left" w:pos="-1080"/>
          <w:tab w:val="left" w:pos="-720"/>
          <w:tab w:val="left" w:pos="0"/>
          <w:tab w:val="left" w:pos="5040"/>
        </w:tabs>
      </w:pPr>
    </w:p>
    <w:p w:rsidR="001525DD" w:rsidRDefault="001525DD">
      <w:pPr>
        <w:tabs>
          <w:tab w:val="left" w:pos="-1080"/>
          <w:tab w:val="left" w:pos="-720"/>
          <w:tab w:val="left" w:pos="0"/>
          <w:tab w:val="left" w:pos="5040"/>
        </w:tabs>
        <w:sectPr w:rsidR="001525DD" w:rsidSect="00771250">
          <w:footerReference w:type="default" r:id="rId7"/>
          <w:pgSz w:w="12240" w:h="15840" w:code="1"/>
          <w:pgMar w:top="2160" w:right="1440" w:bottom="2160" w:left="1440" w:header="1440" w:footer="720" w:gutter="0"/>
          <w:cols w:space="720"/>
        </w:sectPr>
      </w:pPr>
    </w:p>
    <w:p w:rsidR="001525DD" w:rsidRDefault="002874E9">
      <w:pPr>
        <w:tabs>
          <w:tab w:val="left" w:pos="-1080"/>
          <w:tab w:val="left" w:pos="-720"/>
          <w:tab w:val="left" w:pos="0"/>
          <w:tab w:val="left" w:pos="5040"/>
        </w:tabs>
      </w:pPr>
      <w:r>
        <w:rPr>
          <w:b/>
        </w:rPr>
        <w:lastRenderedPageBreak/>
        <w:t>PARTIES</w:t>
      </w:r>
      <w:r w:rsidR="001525DD">
        <w:rPr>
          <w:b/>
        </w:rPr>
        <w:t>:</w:t>
      </w:r>
    </w:p>
    <w:p w:rsidR="001525DD" w:rsidRDefault="002874E9">
      <w:pPr>
        <w:tabs>
          <w:tab w:val="left" w:pos="-1080"/>
          <w:tab w:val="left" w:pos="-720"/>
          <w:tab w:val="left" w:pos="0"/>
          <w:tab w:val="left" w:pos="5040"/>
        </w:tabs>
        <w:ind w:firstLine="720"/>
      </w:pPr>
      <w:r>
        <w:t>California State Lands Commission</w:t>
      </w:r>
    </w:p>
    <w:p w:rsidR="001525DD" w:rsidRDefault="002874E9">
      <w:pPr>
        <w:tabs>
          <w:tab w:val="left" w:pos="-1080"/>
          <w:tab w:val="left" w:pos="-720"/>
          <w:tab w:val="left" w:pos="0"/>
          <w:tab w:val="left" w:pos="5040"/>
        </w:tabs>
        <w:ind w:firstLine="720"/>
      </w:pPr>
      <w:r>
        <w:t xml:space="preserve">100 Howe </w:t>
      </w:r>
      <w:proofErr w:type="gramStart"/>
      <w:r>
        <w:t>Avenue</w:t>
      </w:r>
      <w:proofErr w:type="gramEnd"/>
      <w:r>
        <w:t>, Suite 100-South</w:t>
      </w:r>
    </w:p>
    <w:p w:rsidR="001525DD" w:rsidRDefault="002874E9">
      <w:pPr>
        <w:tabs>
          <w:tab w:val="left" w:pos="-1080"/>
          <w:tab w:val="left" w:pos="-720"/>
          <w:tab w:val="left" w:pos="0"/>
          <w:tab w:val="left" w:pos="5040"/>
        </w:tabs>
        <w:ind w:firstLine="720"/>
      </w:pPr>
      <w:r>
        <w:t>Sacramento, CA  95825</w:t>
      </w:r>
    </w:p>
    <w:p w:rsidR="002874E9" w:rsidRDefault="002874E9">
      <w:pPr>
        <w:tabs>
          <w:tab w:val="left" w:pos="-1080"/>
          <w:tab w:val="left" w:pos="-720"/>
          <w:tab w:val="left" w:pos="0"/>
          <w:tab w:val="left" w:pos="5040"/>
        </w:tabs>
        <w:ind w:firstLine="720"/>
      </w:pPr>
    </w:p>
    <w:p w:rsidR="002874E9" w:rsidRDefault="002874E9">
      <w:pPr>
        <w:tabs>
          <w:tab w:val="left" w:pos="-1080"/>
          <w:tab w:val="left" w:pos="-720"/>
          <w:tab w:val="left" w:pos="0"/>
          <w:tab w:val="left" w:pos="5040"/>
        </w:tabs>
        <w:ind w:firstLine="720"/>
      </w:pPr>
      <w:r>
        <w:t>White Cloud Resources</w:t>
      </w:r>
    </w:p>
    <w:p w:rsidR="002874E9" w:rsidRDefault="002874E9">
      <w:pPr>
        <w:tabs>
          <w:tab w:val="left" w:pos="-1080"/>
          <w:tab w:val="left" w:pos="-720"/>
          <w:tab w:val="left" w:pos="0"/>
          <w:tab w:val="left" w:pos="5040"/>
        </w:tabs>
        <w:ind w:firstLine="720"/>
      </w:pPr>
      <w:r>
        <w:t>4380 Liberty Bell Court</w:t>
      </w:r>
    </w:p>
    <w:p w:rsidR="002874E9" w:rsidRDefault="002874E9">
      <w:pPr>
        <w:tabs>
          <w:tab w:val="left" w:pos="-1080"/>
          <w:tab w:val="left" w:pos="-720"/>
          <w:tab w:val="left" w:pos="0"/>
          <w:tab w:val="left" w:pos="5040"/>
        </w:tabs>
        <w:ind w:firstLine="720"/>
      </w:pPr>
      <w:r>
        <w:t>Eureka, CA  95503</w:t>
      </w:r>
    </w:p>
    <w:p w:rsidR="001525DD" w:rsidRDefault="001525DD">
      <w:pPr>
        <w:tabs>
          <w:tab w:val="left" w:pos="-1080"/>
          <w:tab w:val="left" w:pos="-720"/>
          <w:tab w:val="left" w:pos="0"/>
          <w:tab w:val="left" w:pos="5040"/>
        </w:tabs>
      </w:pPr>
    </w:p>
    <w:p w:rsidR="002874E9" w:rsidRDefault="002874E9">
      <w:pPr>
        <w:tabs>
          <w:tab w:val="left" w:pos="-1080"/>
          <w:tab w:val="left" w:pos="-720"/>
          <w:tab w:val="left" w:pos="0"/>
          <w:tab w:val="left" w:pos="5040"/>
        </w:tabs>
      </w:pPr>
      <w:r>
        <w:rPr>
          <w:b/>
        </w:rPr>
        <w:t>BACKGROUND:</w:t>
      </w:r>
    </w:p>
    <w:p w:rsidR="002874E9" w:rsidRDefault="002874E9">
      <w:pPr>
        <w:tabs>
          <w:tab w:val="left" w:pos="-1080"/>
          <w:tab w:val="left" w:pos="-720"/>
          <w:tab w:val="left" w:pos="0"/>
          <w:tab w:val="left" w:pos="5040"/>
        </w:tabs>
      </w:pPr>
      <w:r>
        <w:t xml:space="preserve">At its meeting of October 30, 2007, pursuant to Item 35, the Commission authorized a land exchange between the Commission and White Cloud Resources (White Cloud).  </w:t>
      </w:r>
      <w:r w:rsidR="00AD70E6">
        <w:t xml:space="preserve">In exchange for cash considerations and 114.8 acres of land, the Commission authorized the issuance of a patent to White Cloud for 167.8 acres of school lands.  Subsequent to the completion of the transaction, a minor </w:t>
      </w:r>
      <w:r w:rsidR="004C41E5">
        <w:t>typographical error</w:t>
      </w:r>
      <w:r w:rsidR="00AD70E6">
        <w:t xml:space="preserve"> was discovered i</w:t>
      </w:r>
      <w:r w:rsidR="009265AB">
        <w:t>n the legal description in</w:t>
      </w:r>
      <w:r w:rsidR="00D32D3B">
        <w:t xml:space="preserve"> the Commission authorization and </w:t>
      </w:r>
      <w:r w:rsidR="009265AB">
        <w:t>the S</w:t>
      </w:r>
      <w:r w:rsidR="00AD70E6">
        <w:t>tate patent to White Cloud.  Staff is requesting the authority to pr</w:t>
      </w:r>
      <w:r w:rsidR="009265AB">
        <w:t>epare</w:t>
      </w:r>
      <w:r w:rsidR="00AD70E6">
        <w:t xml:space="preserve"> and issue a new patent to White Cloud containing the corrected legal description</w:t>
      </w:r>
      <w:r w:rsidR="00D32D3B">
        <w:t xml:space="preserve"> as set forth in Exhibit B</w:t>
      </w:r>
      <w:r w:rsidR="00AD70E6">
        <w:t>.</w:t>
      </w:r>
    </w:p>
    <w:p w:rsidR="00AD70E6" w:rsidRDefault="00AD70E6">
      <w:pPr>
        <w:tabs>
          <w:tab w:val="left" w:pos="-1080"/>
          <w:tab w:val="left" w:pos="-720"/>
          <w:tab w:val="left" w:pos="0"/>
          <w:tab w:val="left" w:pos="5040"/>
        </w:tabs>
      </w:pPr>
    </w:p>
    <w:p w:rsidR="001525DD" w:rsidRDefault="001525DD">
      <w:pPr>
        <w:tabs>
          <w:tab w:val="left" w:pos="-1080"/>
          <w:tab w:val="left" w:pos="-720"/>
          <w:tab w:val="left" w:pos="0"/>
          <w:tab w:val="left" w:pos="5040"/>
        </w:tabs>
      </w:pPr>
      <w:r>
        <w:rPr>
          <w:b/>
        </w:rPr>
        <w:t>AREA, LAND TYPE, AND LOCATION:</w:t>
      </w:r>
    </w:p>
    <w:p w:rsidR="001525DD" w:rsidRDefault="00AD70E6">
      <w:pPr>
        <w:tabs>
          <w:tab w:val="left" w:pos="-1080"/>
          <w:tab w:val="left" w:pos="-720"/>
          <w:tab w:val="left" w:pos="0"/>
          <w:tab w:val="left" w:pos="5040"/>
        </w:tabs>
        <w:ind w:left="720"/>
      </w:pPr>
      <w:r>
        <w:t>167.8</w:t>
      </w:r>
      <w:r w:rsidR="001525DD">
        <w:t xml:space="preserve"> acres, more or less, of </w:t>
      </w:r>
      <w:r w:rsidR="009265AB">
        <w:t>State s</w:t>
      </w:r>
      <w:r>
        <w:t>chool</w:t>
      </w:r>
      <w:r w:rsidR="001525DD">
        <w:t xml:space="preserve"> </w:t>
      </w:r>
      <w:r w:rsidR="009265AB">
        <w:t>l</w:t>
      </w:r>
      <w:r w:rsidR="001525DD">
        <w:t xml:space="preserve">ands </w:t>
      </w:r>
      <w:r>
        <w:t>located</w:t>
      </w:r>
      <w:r w:rsidR="001525DD">
        <w:t xml:space="preserve"> </w:t>
      </w:r>
      <w:r>
        <w:t>northeast of Covelo,</w:t>
      </w:r>
      <w:r w:rsidR="001525DD">
        <w:t xml:space="preserve"> </w:t>
      </w:r>
      <w:r>
        <w:t>further identified as a portion of the north half of Section 16, Township 23 North, Range 11 West</w:t>
      </w:r>
      <w:r w:rsidR="001525DD">
        <w:t xml:space="preserve">, </w:t>
      </w:r>
      <w:r>
        <w:t xml:space="preserve">MDBM, </w:t>
      </w:r>
      <w:proofErr w:type="gramStart"/>
      <w:r>
        <w:t>Mendocino</w:t>
      </w:r>
      <w:proofErr w:type="gramEnd"/>
      <w:r>
        <w:t xml:space="preserve"> County</w:t>
      </w:r>
      <w:r w:rsidR="001525DD">
        <w:t>.</w:t>
      </w:r>
    </w:p>
    <w:p w:rsidR="001525DD" w:rsidRDefault="001525DD">
      <w:pPr>
        <w:tabs>
          <w:tab w:val="left" w:pos="-1080"/>
          <w:tab w:val="left" w:pos="-720"/>
          <w:tab w:val="left" w:pos="0"/>
          <w:tab w:val="left" w:pos="5040"/>
        </w:tabs>
      </w:pPr>
    </w:p>
    <w:p w:rsidR="001525DD" w:rsidRDefault="001525DD">
      <w:pPr>
        <w:tabs>
          <w:tab w:val="left" w:pos="-1080"/>
          <w:tab w:val="left" w:pos="-720"/>
          <w:tab w:val="left" w:pos="0"/>
          <w:tab w:val="left" w:pos="5040"/>
        </w:tabs>
        <w:rPr>
          <w:b/>
        </w:rPr>
      </w:pPr>
      <w:r>
        <w:rPr>
          <w:b/>
        </w:rPr>
        <w:t>OTHER PERTINENT INFORMATION:</w:t>
      </w:r>
    </w:p>
    <w:p w:rsidR="00AD70E6" w:rsidRDefault="00AD70E6" w:rsidP="00431742">
      <w:pPr>
        <w:pStyle w:val="ListParagraph"/>
        <w:numPr>
          <w:ilvl w:val="0"/>
          <w:numId w:val="4"/>
        </w:numPr>
        <w:tabs>
          <w:tab w:val="left" w:pos="-1080"/>
          <w:tab w:val="left" w:pos="-720"/>
          <w:tab w:val="left" w:pos="0"/>
          <w:tab w:val="left" w:pos="5040"/>
        </w:tabs>
        <w:ind w:left="1440" w:hanging="720"/>
      </w:pPr>
      <w:r w:rsidRPr="00AD70E6">
        <w:t>Pursuant to the</w:t>
      </w:r>
      <w:r>
        <w:t xml:space="preserve"> Commission’s delegation of authority and the State CEQA Guidelines {Title 14, California Code of Regulations, sections 15061(b)(1) and 1528</w:t>
      </w:r>
      <w:r w:rsidR="009265AB">
        <w:t>2], the staff</w:t>
      </w:r>
      <w:r>
        <w:t xml:space="preserve"> determined that this activity is statutorily exempt from the requirements of the CEQA because it involves an action taken pursuant to the School Land Bank Act, Public Resources Code, section 8710</w:t>
      </w:r>
      <w:r w:rsidR="006B0C38">
        <w:t>.</w:t>
      </w:r>
    </w:p>
    <w:p w:rsidR="001525DD" w:rsidRDefault="001525DD" w:rsidP="00AD70E6">
      <w:pPr>
        <w:pStyle w:val="ListParagraph"/>
        <w:tabs>
          <w:tab w:val="left" w:pos="-1080"/>
          <w:tab w:val="left" w:pos="-720"/>
          <w:tab w:val="left" w:pos="0"/>
          <w:tab w:val="left" w:pos="5040"/>
        </w:tabs>
        <w:ind w:left="1080"/>
      </w:pPr>
    </w:p>
    <w:p w:rsidR="001525DD" w:rsidRDefault="00431742" w:rsidP="00431742">
      <w:pPr>
        <w:tabs>
          <w:tab w:val="left" w:pos="-1080"/>
          <w:tab w:val="left" w:pos="-720"/>
          <w:tab w:val="left" w:pos="0"/>
          <w:tab w:val="left" w:pos="1440"/>
          <w:tab w:val="left" w:pos="5040"/>
        </w:tabs>
        <w:ind w:left="1440" w:hanging="360"/>
      </w:pPr>
      <w:r>
        <w:tab/>
      </w:r>
      <w:r w:rsidR="00AD70E6">
        <w:t>Authority:  Public Resources Code section 8710.</w:t>
      </w:r>
    </w:p>
    <w:p w:rsidR="00431742" w:rsidRDefault="00431742" w:rsidP="00431742">
      <w:pPr>
        <w:tabs>
          <w:tab w:val="left" w:pos="-1080"/>
          <w:tab w:val="left" w:pos="-720"/>
          <w:tab w:val="left" w:pos="0"/>
          <w:tab w:val="left" w:pos="1440"/>
          <w:tab w:val="left" w:pos="5040"/>
        </w:tabs>
        <w:ind w:left="1440" w:hanging="360"/>
      </w:pPr>
    </w:p>
    <w:p w:rsidR="001525DD" w:rsidRDefault="001525DD">
      <w:pPr>
        <w:tabs>
          <w:tab w:val="left" w:pos="-1080"/>
          <w:tab w:val="left" w:pos="-720"/>
          <w:tab w:val="left" w:pos="0"/>
          <w:tab w:val="left" w:pos="5040"/>
        </w:tabs>
        <w:ind w:left="1440" w:hanging="720"/>
      </w:pPr>
      <w:r>
        <w:t>2.</w:t>
      </w:r>
      <w:r>
        <w:tab/>
      </w:r>
      <w:r w:rsidR="00AD70E6">
        <w:t>This activity involves lands which have NOT been identified as possessing significant environmental values pursuant to Public Resources Code sections 6370, et seq.  However, the Co</w:t>
      </w:r>
      <w:r w:rsidR="009265AB">
        <w:t>mmission has declared that all S</w:t>
      </w:r>
      <w:r w:rsidR="00AD70E6">
        <w:t>tate school lands and submerged lands are “significant” by nature of their public ownership (as opposed to “environmentally significant”)</w:t>
      </w:r>
      <w:r w:rsidR="00431742">
        <w:t>.  Since such declaration of significance is not based upon the requirements and criteria of Public Resource Code sections 6370, et seq., use classifications for such lands have not been designated.  Therefore, the findings of the project’s consistency with the use classification as required by Title 2, California Code of Regulations, section 2954, is not applicable.</w:t>
      </w:r>
    </w:p>
    <w:p w:rsidR="001525DD" w:rsidRDefault="001525DD">
      <w:pPr>
        <w:tabs>
          <w:tab w:val="left" w:pos="-1080"/>
          <w:tab w:val="left" w:pos="-720"/>
          <w:tab w:val="left" w:pos="0"/>
          <w:tab w:val="left" w:pos="5040"/>
        </w:tabs>
      </w:pPr>
    </w:p>
    <w:p w:rsidR="001525DD" w:rsidRDefault="001525DD">
      <w:pPr>
        <w:rPr>
          <w:b/>
        </w:rPr>
      </w:pPr>
      <w:r>
        <w:rPr>
          <w:b/>
        </w:rPr>
        <w:t>EXHIBITS:</w:t>
      </w:r>
    </w:p>
    <w:p w:rsidR="009265AB" w:rsidRDefault="009265AB" w:rsidP="00431742">
      <w:pPr>
        <w:pStyle w:val="ListParagraph"/>
        <w:numPr>
          <w:ilvl w:val="0"/>
          <w:numId w:val="5"/>
        </w:numPr>
      </w:pPr>
      <w:r>
        <w:t>Location Map</w:t>
      </w:r>
    </w:p>
    <w:p w:rsidR="00431742" w:rsidRPr="00431742" w:rsidRDefault="00431742" w:rsidP="00431742">
      <w:pPr>
        <w:pStyle w:val="ListParagraph"/>
        <w:numPr>
          <w:ilvl w:val="0"/>
          <w:numId w:val="5"/>
        </w:numPr>
      </w:pPr>
      <w:r w:rsidRPr="00431742">
        <w:t>Land Description</w:t>
      </w:r>
    </w:p>
    <w:p w:rsidR="001525DD" w:rsidRDefault="001525DD">
      <w:pPr>
        <w:rPr>
          <w:b/>
        </w:rPr>
      </w:pPr>
    </w:p>
    <w:p w:rsidR="001525DD" w:rsidRDefault="001525DD">
      <w:pPr>
        <w:tabs>
          <w:tab w:val="left" w:pos="-1080"/>
          <w:tab w:val="left" w:pos="-720"/>
          <w:tab w:val="left" w:pos="0"/>
          <w:tab w:val="left" w:pos="5040"/>
        </w:tabs>
      </w:pPr>
      <w:r>
        <w:rPr>
          <w:b/>
        </w:rPr>
        <w:t>RECOMMENDED ACTION:</w:t>
      </w:r>
    </w:p>
    <w:p w:rsidR="001525DD" w:rsidRDefault="001525DD">
      <w:pPr>
        <w:tabs>
          <w:tab w:val="left" w:pos="-1080"/>
          <w:tab w:val="left" w:pos="-720"/>
          <w:tab w:val="left" w:pos="0"/>
          <w:tab w:val="left" w:pos="5040"/>
        </w:tabs>
      </w:pPr>
      <w:r>
        <w:t>IT IS RECOMMENDED THAT THE COMMISSION:</w:t>
      </w:r>
    </w:p>
    <w:p w:rsidR="001525DD" w:rsidRDefault="001525DD">
      <w:pPr>
        <w:tabs>
          <w:tab w:val="left" w:pos="-1080"/>
          <w:tab w:val="left" w:pos="-720"/>
          <w:tab w:val="left" w:pos="0"/>
          <w:tab w:val="left" w:pos="5040"/>
        </w:tabs>
        <w:ind w:firstLine="1440"/>
      </w:pPr>
    </w:p>
    <w:p w:rsidR="001525DD" w:rsidRDefault="001525DD">
      <w:pPr>
        <w:tabs>
          <w:tab w:val="left" w:pos="-1080"/>
          <w:tab w:val="left" w:pos="-720"/>
          <w:tab w:val="left" w:pos="0"/>
          <w:tab w:val="left" w:pos="5040"/>
        </w:tabs>
        <w:ind w:left="720"/>
      </w:pPr>
      <w:r>
        <w:rPr>
          <w:b/>
        </w:rPr>
        <w:t>CEQA FINDING:</w:t>
      </w:r>
    </w:p>
    <w:p w:rsidR="001525DD" w:rsidRDefault="00431742">
      <w:pPr>
        <w:tabs>
          <w:tab w:val="left" w:pos="-1080"/>
          <w:tab w:val="left" w:pos="-720"/>
          <w:tab w:val="left" w:pos="1440"/>
          <w:tab w:val="left" w:pos="5040"/>
        </w:tabs>
        <w:ind w:left="1440"/>
      </w:pPr>
      <w:r>
        <w:t>FIND THAT THE ACTIVITY IS EXEMPT FROM THE REQUIREMENTS OF THE CEQA PURSUANT TO TITLE 14, CALIFORNIA CODE OF REGULATIONS, 15061 AS A STATUTORILY EXEMPT PROJECT PURSUANT TO PUBLIC RESOURCES CODE SECTION 8710, AN ACTION TAKEN PURSUANT TO THE SCHOOL LAND BANK ACT, PUBLIC RESOURCES CODE SECTION 8710.</w:t>
      </w:r>
    </w:p>
    <w:p w:rsidR="001525DD" w:rsidRDefault="001525DD">
      <w:pPr>
        <w:tabs>
          <w:tab w:val="left" w:pos="-1080"/>
          <w:tab w:val="left" w:pos="-720"/>
          <w:tab w:val="left" w:pos="0"/>
          <w:tab w:val="left" w:pos="5040"/>
        </w:tabs>
      </w:pPr>
    </w:p>
    <w:p w:rsidR="001525DD" w:rsidRDefault="001525DD">
      <w:pPr>
        <w:tabs>
          <w:tab w:val="left" w:pos="-1080"/>
          <w:tab w:val="left" w:pos="-720"/>
          <w:tab w:val="left" w:pos="0"/>
          <w:tab w:val="left" w:pos="5040"/>
        </w:tabs>
        <w:ind w:firstLine="720"/>
      </w:pPr>
      <w:r>
        <w:rPr>
          <w:b/>
        </w:rPr>
        <w:t>SIGNIFICANT LANDS INVENTORY FINDING:</w:t>
      </w:r>
    </w:p>
    <w:p w:rsidR="001525DD" w:rsidRDefault="00431742">
      <w:pPr>
        <w:tabs>
          <w:tab w:val="left" w:pos="-1080"/>
          <w:tab w:val="left" w:pos="-720"/>
          <w:tab w:val="left" w:pos="1440"/>
          <w:tab w:val="left" w:pos="5040"/>
        </w:tabs>
        <w:ind w:left="1440"/>
      </w:pPr>
      <w:r>
        <w:t>FIND THAT THIS ACTIVITY IS CONSISTENT WITH THE USE CLASSIFICATION DESIGNATED BY THE COMMISSION FOR THE LAND PURSUANT TO PUBLIC RESOURCES CODE SECTIONS 6370, ET SEQ.</w:t>
      </w:r>
    </w:p>
    <w:p w:rsidR="001525DD" w:rsidRDefault="001525DD">
      <w:pPr>
        <w:tabs>
          <w:tab w:val="left" w:pos="-1080"/>
          <w:tab w:val="left" w:pos="-720"/>
          <w:tab w:val="left" w:pos="0"/>
          <w:tab w:val="left" w:pos="5040"/>
        </w:tabs>
      </w:pPr>
    </w:p>
    <w:p w:rsidR="001525DD" w:rsidRDefault="001525DD">
      <w:pPr>
        <w:tabs>
          <w:tab w:val="left" w:pos="-1080"/>
          <w:tab w:val="left" w:pos="-720"/>
          <w:tab w:val="left" w:pos="0"/>
          <w:tab w:val="left" w:pos="5040"/>
        </w:tabs>
        <w:ind w:firstLine="720"/>
      </w:pPr>
      <w:r>
        <w:rPr>
          <w:b/>
        </w:rPr>
        <w:t>AUTHORIZATION:</w:t>
      </w:r>
    </w:p>
    <w:p w:rsidR="001525DD" w:rsidRDefault="001525DD" w:rsidP="00431742">
      <w:pPr>
        <w:pStyle w:val="BodyTextIndent"/>
        <w:ind w:firstLine="0"/>
      </w:pPr>
      <w:r>
        <w:t>AUTHORIZE THE</w:t>
      </w:r>
      <w:r w:rsidR="00431742">
        <w:t xml:space="preserve"> PREPARTION AND ISSUANCE OF A </w:t>
      </w:r>
      <w:r w:rsidR="009265AB">
        <w:t xml:space="preserve">CORRECTED </w:t>
      </w:r>
      <w:r w:rsidR="00431742">
        <w:t>PATENT TO WHITE CLOUD RESOURCES</w:t>
      </w:r>
      <w:r w:rsidR="00A86D83">
        <w:t>, SUBJECT TO APPLICABLE STATUTORY AND CONSTITUTIONAL RESERVATIONS,</w:t>
      </w:r>
      <w:r w:rsidR="00431742">
        <w:t xml:space="preserve"> FOR THE LAND DESCRIBED IN </w:t>
      </w:r>
      <w:r w:rsidR="00431742" w:rsidRPr="00A86D83">
        <w:t>EXHIBIT</w:t>
      </w:r>
      <w:r w:rsidR="009265AB">
        <w:t xml:space="preserve"> B</w:t>
      </w:r>
      <w:r w:rsidR="00431742">
        <w:t>, ATTACHED AND BY THIS REFERENCE MADE A PART HEREOF</w:t>
      </w:r>
      <w:r>
        <w:t>.</w:t>
      </w:r>
    </w:p>
    <w:sectPr w:rsidR="001525DD" w:rsidSect="00551377">
      <w:headerReference w:type="default" r:id="rId8"/>
      <w:type w:val="continuous"/>
      <w:pgSz w:w="12240" w:h="15840" w:code="1"/>
      <w:pgMar w:top="1440" w:right="1440" w:bottom="1440" w:left="1440"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742" w:rsidRDefault="00431742">
      <w:r>
        <w:separator/>
      </w:r>
    </w:p>
  </w:endnote>
  <w:endnote w:type="continuationSeparator" w:id="1">
    <w:p w:rsidR="00431742" w:rsidRDefault="00431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742" w:rsidRDefault="00431742">
    <w:pPr>
      <w:tabs>
        <w:tab w:val="center" w:pos="4680"/>
        <w:tab w:val="right" w:pos="9360"/>
      </w:tabs>
    </w:pPr>
    <w:r>
      <w:tab/>
      <w:t>-</w:t>
    </w:r>
    <w:r w:rsidR="00481E65">
      <w:rPr>
        <w:rStyle w:val="PageNumber"/>
      </w:rPr>
      <w:fldChar w:fldCharType="begin"/>
    </w:r>
    <w:r>
      <w:rPr>
        <w:rStyle w:val="PageNumber"/>
      </w:rPr>
      <w:instrText xml:space="preserve"> PAGE </w:instrText>
    </w:r>
    <w:r w:rsidR="00481E65">
      <w:rPr>
        <w:rStyle w:val="PageNumber"/>
      </w:rPr>
      <w:fldChar w:fldCharType="separate"/>
    </w:r>
    <w:r w:rsidR="005147DC">
      <w:rPr>
        <w:rStyle w:val="PageNumber"/>
        <w:noProof/>
      </w:rPr>
      <w:t>2</w:t>
    </w:r>
    <w:r w:rsidR="00481E65">
      <w:rPr>
        <w:rStyle w:val="PageNumber"/>
      </w:rPr>
      <w:fldChar w:fldCharType="end"/>
    </w:r>
    <w:r>
      <w:rPr>
        <w:rStyle w:val="PageNumber"/>
      </w:rPr>
      <w:t>-</w:t>
    </w:r>
  </w:p>
  <w:p w:rsidR="00431742" w:rsidRDefault="00431742">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742" w:rsidRDefault="00431742">
      <w:r>
        <w:separator/>
      </w:r>
    </w:p>
  </w:footnote>
  <w:footnote w:type="continuationSeparator" w:id="1">
    <w:p w:rsidR="00431742" w:rsidRDefault="004317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742" w:rsidRDefault="00431742">
    <w:pPr>
      <w:pStyle w:val="Header"/>
      <w:rPr>
        <w:u w:val="single"/>
      </w:rPr>
    </w:pPr>
    <w:r>
      <w:tab/>
    </w:r>
    <w:r>
      <w:rPr>
        <w:u w:val="single"/>
      </w:rPr>
      <w:t xml:space="preserve">CALENDAR ITEM NO. </w:t>
    </w:r>
    <w:r>
      <w:rPr>
        <w:b/>
        <w:sz w:val="36"/>
        <w:u w:val="single"/>
      </w:rPr>
      <w:t>C</w:t>
    </w:r>
    <w:r w:rsidR="005147DC">
      <w:rPr>
        <w:b/>
        <w:sz w:val="36"/>
        <w:u w:val="single"/>
      </w:rPr>
      <w:t>41</w:t>
    </w:r>
    <w:r>
      <w:rPr>
        <w:sz w:val="36"/>
        <w:u w:val="single"/>
      </w:rPr>
      <w:t xml:space="preserve"> </w:t>
    </w:r>
    <w:r>
      <w:rPr>
        <w:u w:val="single"/>
      </w:rPr>
      <w:t>(CONT’D)</w:t>
    </w:r>
  </w:p>
  <w:p w:rsidR="00431742" w:rsidRDefault="00431742">
    <w:pPr>
      <w:pStyle w:val="Header"/>
    </w:pPr>
  </w:p>
  <w:p w:rsidR="00431742" w:rsidRDefault="004317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27F83"/>
    <w:multiLevelType w:val="singleLevel"/>
    <w:tmpl w:val="15DAA55A"/>
    <w:lvl w:ilvl="0">
      <w:start w:val="1"/>
      <w:numFmt w:val="decimal"/>
      <w:lvlText w:val="%1."/>
      <w:lvlJc w:val="left"/>
      <w:pPr>
        <w:tabs>
          <w:tab w:val="num" w:pos="1440"/>
        </w:tabs>
        <w:ind w:left="1440" w:hanging="720"/>
      </w:pPr>
      <w:rPr>
        <w:rFonts w:hint="default"/>
      </w:rPr>
    </w:lvl>
  </w:abstractNum>
  <w:abstractNum w:abstractNumId="1">
    <w:nsid w:val="10792F96"/>
    <w:multiLevelType w:val="singleLevel"/>
    <w:tmpl w:val="A74CA782"/>
    <w:lvl w:ilvl="0">
      <w:start w:val="38"/>
      <w:numFmt w:val="decimal"/>
      <w:lvlText w:val="%1."/>
      <w:lvlJc w:val="left"/>
      <w:pPr>
        <w:tabs>
          <w:tab w:val="num" w:pos="720"/>
        </w:tabs>
        <w:ind w:left="720" w:hanging="720"/>
      </w:pPr>
      <w:rPr>
        <w:rFonts w:hint="default"/>
      </w:rPr>
    </w:lvl>
  </w:abstractNum>
  <w:abstractNum w:abstractNumId="2">
    <w:nsid w:val="257A754B"/>
    <w:multiLevelType w:val="singleLevel"/>
    <w:tmpl w:val="40A697E6"/>
    <w:lvl w:ilvl="0">
      <w:start w:val="1"/>
      <w:numFmt w:val="decimal"/>
      <w:lvlText w:val="%1."/>
      <w:lvlJc w:val="left"/>
      <w:pPr>
        <w:tabs>
          <w:tab w:val="num" w:pos="1440"/>
        </w:tabs>
        <w:ind w:left="1440" w:hanging="720"/>
      </w:pPr>
      <w:rPr>
        <w:rFonts w:hint="default"/>
      </w:rPr>
    </w:lvl>
  </w:abstractNum>
  <w:abstractNum w:abstractNumId="3">
    <w:nsid w:val="6B0D2298"/>
    <w:multiLevelType w:val="hybridMultilevel"/>
    <w:tmpl w:val="702CC020"/>
    <w:lvl w:ilvl="0" w:tplc="582AA00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440EF7"/>
    <w:multiLevelType w:val="hybridMultilevel"/>
    <w:tmpl w:val="B78E7778"/>
    <w:lvl w:ilvl="0" w:tplc="9386E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attachedTemplate r:id="rId1"/>
  <w:stylePaneFormatFilter w:val="3F01"/>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2874E9"/>
    <w:rsid w:val="000054A9"/>
    <w:rsid w:val="000B4006"/>
    <w:rsid w:val="000E3F9E"/>
    <w:rsid w:val="001525DD"/>
    <w:rsid w:val="002874E9"/>
    <w:rsid w:val="00431742"/>
    <w:rsid w:val="00481E65"/>
    <w:rsid w:val="004934D4"/>
    <w:rsid w:val="004C41E5"/>
    <w:rsid w:val="005147DC"/>
    <w:rsid w:val="00551377"/>
    <w:rsid w:val="005A04E5"/>
    <w:rsid w:val="00665D67"/>
    <w:rsid w:val="006B0C38"/>
    <w:rsid w:val="006E13F7"/>
    <w:rsid w:val="00771250"/>
    <w:rsid w:val="009265AB"/>
    <w:rsid w:val="00A41FDF"/>
    <w:rsid w:val="00A60A27"/>
    <w:rsid w:val="00A86D83"/>
    <w:rsid w:val="00AD70E6"/>
    <w:rsid w:val="00BE73CA"/>
    <w:rsid w:val="00D32D3B"/>
    <w:rsid w:val="00FF5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1377"/>
    <w:rPr>
      <w:rFonts w:ascii="Arial" w:hAnsi="Arial"/>
      <w:sz w:val="24"/>
    </w:rPr>
  </w:style>
  <w:style w:type="paragraph" w:styleId="Heading1">
    <w:name w:val="heading 1"/>
    <w:basedOn w:val="Normal"/>
    <w:next w:val="Normal"/>
    <w:qFormat/>
    <w:rsid w:val="00551377"/>
    <w:pPr>
      <w:keepNext/>
      <w:tabs>
        <w:tab w:val="center" w:pos="4680"/>
        <w:tab w:val="right" w:pos="9360"/>
      </w:tabs>
      <w:outlineLvl w:val="0"/>
    </w:pPr>
    <w:rPr>
      <w:b/>
    </w:rPr>
  </w:style>
  <w:style w:type="paragraph" w:styleId="Heading2">
    <w:name w:val="heading 2"/>
    <w:basedOn w:val="Normal"/>
    <w:next w:val="Normal"/>
    <w:qFormat/>
    <w:rsid w:val="00551377"/>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1377"/>
    <w:pPr>
      <w:tabs>
        <w:tab w:val="center" w:pos="4320"/>
        <w:tab w:val="right" w:pos="8640"/>
      </w:tabs>
    </w:pPr>
  </w:style>
  <w:style w:type="paragraph" w:styleId="Footer">
    <w:name w:val="footer"/>
    <w:basedOn w:val="Normal"/>
    <w:rsid w:val="00551377"/>
    <w:pPr>
      <w:tabs>
        <w:tab w:val="center" w:pos="4320"/>
        <w:tab w:val="right" w:pos="8640"/>
      </w:tabs>
    </w:pPr>
  </w:style>
  <w:style w:type="character" w:styleId="PageNumber">
    <w:name w:val="page number"/>
    <w:basedOn w:val="DefaultParagraphFont"/>
    <w:rsid w:val="00551377"/>
  </w:style>
  <w:style w:type="paragraph" w:styleId="BlockText">
    <w:name w:val="Block Text"/>
    <w:basedOn w:val="Normal"/>
    <w:rsid w:val="00551377"/>
    <w:pPr>
      <w:ind w:left="1440" w:right="-432"/>
    </w:pPr>
  </w:style>
  <w:style w:type="paragraph" w:styleId="BodyTextIndent2">
    <w:name w:val="Body Text Indent 2"/>
    <w:basedOn w:val="Normal"/>
    <w:rsid w:val="00551377"/>
    <w:pPr>
      <w:ind w:left="720"/>
    </w:pPr>
  </w:style>
  <w:style w:type="paragraph" w:styleId="BodyText">
    <w:name w:val="Body Text"/>
    <w:basedOn w:val="Normal"/>
    <w:rsid w:val="00551377"/>
  </w:style>
  <w:style w:type="paragraph" w:styleId="BodyTextIndent">
    <w:name w:val="Body Text Indent"/>
    <w:basedOn w:val="Normal"/>
    <w:rsid w:val="00551377"/>
    <w:pPr>
      <w:ind w:left="1440" w:hanging="720"/>
    </w:pPr>
  </w:style>
  <w:style w:type="paragraph" w:styleId="Title">
    <w:name w:val="Title"/>
    <w:basedOn w:val="Normal"/>
    <w:qFormat/>
    <w:rsid w:val="00551377"/>
    <w:pPr>
      <w:tabs>
        <w:tab w:val="center" w:pos="4680"/>
        <w:tab w:val="right" w:pos="9360"/>
      </w:tabs>
      <w:jc w:val="center"/>
    </w:pPr>
    <w:rPr>
      <w:b/>
    </w:rPr>
  </w:style>
  <w:style w:type="paragraph" w:styleId="Subtitle">
    <w:name w:val="Subtitle"/>
    <w:basedOn w:val="Normal"/>
    <w:qFormat/>
    <w:rsid w:val="00551377"/>
    <w:pPr>
      <w:tabs>
        <w:tab w:val="center" w:pos="4680"/>
        <w:tab w:val="left" w:pos="5040"/>
        <w:tab w:val="left" w:pos="5310"/>
      </w:tabs>
      <w:jc w:val="center"/>
    </w:pPr>
    <w:rPr>
      <w:b/>
      <w:sz w:val="36"/>
    </w:rPr>
  </w:style>
  <w:style w:type="paragraph" w:styleId="ListParagraph">
    <w:name w:val="List Paragraph"/>
    <w:basedOn w:val="Normal"/>
    <w:uiPriority w:val="34"/>
    <w:qFormat/>
    <w:rsid w:val="00AD70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Macros\Calendar%20Items\ITM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ITMAMD.dotx</Template>
  <TotalTime>5</TotalTime>
  <Pages>2</Pages>
  <Words>498</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CA State Lands Commission</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Jim Porter</dc:creator>
  <cp:keywords/>
  <cp:lastModifiedBy>Lynda Smallwood</cp:lastModifiedBy>
  <cp:revision>6</cp:revision>
  <cp:lastPrinted>2009-04-07T22:21:00Z</cp:lastPrinted>
  <dcterms:created xsi:type="dcterms:W3CDTF">2009-04-07T22:18:00Z</dcterms:created>
  <dcterms:modified xsi:type="dcterms:W3CDTF">2009-05-16T00:47:00Z</dcterms:modified>
</cp:coreProperties>
</file>