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90" w:rsidRDefault="00E83CC5" w:rsidP="000C2AC0">
      <w:pPr>
        <w:pStyle w:val="Title"/>
        <w:jc w:val="left"/>
      </w:pPr>
      <w:r w:rsidRPr="00E83CC5">
        <w:rPr>
          <w:b w:val="0"/>
          <w:noProof/>
          <w:lang w:eastAsia="zh-TW"/>
        </w:rPr>
        <w:pict>
          <v:shapetype id="_x0000_t202" coordsize="21600,21600" o:spt="202" path="m,l,21600r21600,l21600,xe">
            <v:stroke joinstyle="miter"/>
            <v:path gradientshapeok="t" o:connecttype="rect"/>
          </v:shapetype>
          <v:shape id="_x0000_s1026" type="#_x0000_t202" style="position:absolute;margin-left:143.2pt;margin-top:-52pt;width:186.35pt;height:42.55pt;z-index:251660288;mso-width-percent:400;mso-width-percent:400;mso-width-relative:margin;mso-height-relative:margin;v-text-anchor:middle" strokecolor="white [3212]">
            <v:textbox>
              <w:txbxContent>
                <w:p w:rsidR="00E83CC5" w:rsidRPr="00E83CC5" w:rsidRDefault="00E83CC5" w:rsidP="00E83CC5">
                  <w:pPr>
                    <w:jc w:val="center"/>
                    <w:rPr>
                      <w:rFonts w:ascii="Arial" w:hAnsi="Arial" w:cs="Arial"/>
                      <w:b/>
                      <w:sz w:val="28"/>
                      <w:szCs w:val="28"/>
                    </w:rPr>
                  </w:pPr>
                  <w:r w:rsidRPr="00E83CC5">
                    <w:rPr>
                      <w:rFonts w:ascii="Arial" w:hAnsi="Arial" w:cs="Arial"/>
                      <w:b/>
                      <w:sz w:val="28"/>
                      <w:szCs w:val="28"/>
                    </w:rPr>
                    <w:t>EXHIBIT F</w:t>
                  </w:r>
                </w:p>
              </w:txbxContent>
            </v:textbox>
          </v:shape>
        </w:pict>
      </w:r>
      <w:r w:rsidR="006A2A90">
        <w:rPr>
          <w:b w:val="0"/>
        </w:rPr>
        <w:tab/>
      </w:r>
      <w:r w:rsidR="006A2A90">
        <w:t>CALENDAR ITEM</w:t>
      </w:r>
    </w:p>
    <w:p w:rsidR="006A2A90" w:rsidRDefault="00BF6673" w:rsidP="000C2AC0">
      <w:pPr>
        <w:pStyle w:val="Title"/>
      </w:pPr>
      <w:r>
        <w:rPr>
          <w:sz w:val="36"/>
        </w:rPr>
        <w:t>41</w:t>
      </w:r>
    </w:p>
    <w:p w:rsidR="006A2A90" w:rsidRDefault="006A2A90" w:rsidP="000C2AC0">
      <w:pPr>
        <w:pStyle w:val="Header"/>
        <w:tabs>
          <w:tab w:val="clear" w:pos="4320"/>
          <w:tab w:val="clear" w:pos="8640"/>
          <w:tab w:val="left" w:pos="-1440"/>
          <w:tab w:val="left" w:pos="-720"/>
          <w:tab w:val="left" w:pos="720"/>
          <w:tab w:val="left" w:pos="1320"/>
          <w:tab w:val="left" w:pos="4680"/>
          <w:tab w:val="left" w:pos="7560"/>
        </w:tabs>
        <w:rPr>
          <w:rFonts w:ascii="Arial" w:hAnsi="Arial"/>
        </w:rPr>
        <w:sectPr w:rsidR="006A2A90">
          <w:footerReference w:type="default" r:id="rId8"/>
          <w:endnotePr>
            <w:numFmt w:val="decimal"/>
          </w:endnotePr>
          <w:type w:val="continuous"/>
          <w:pgSz w:w="12240" w:h="15840" w:code="1"/>
          <w:pgMar w:top="2160" w:right="1440" w:bottom="2160" w:left="1440" w:header="1440" w:footer="720" w:gutter="0"/>
          <w:cols w:space="720"/>
          <w:noEndnote/>
        </w:sectPr>
      </w:pPr>
    </w:p>
    <w:p w:rsidR="006A2A90" w:rsidRDefault="006A2A90" w:rsidP="000C2AC0">
      <w:pPr>
        <w:pStyle w:val="Header"/>
        <w:tabs>
          <w:tab w:val="clear" w:pos="4320"/>
          <w:tab w:val="clear" w:pos="8640"/>
          <w:tab w:val="left" w:pos="-1440"/>
          <w:tab w:val="left" w:pos="-720"/>
          <w:tab w:val="left" w:pos="720"/>
          <w:tab w:val="left" w:pos="1320"/>
          <w:tab w:val="left" w:pos="4680"/>
          <w:tab w:val="left" w:pos="7560"/>
        </w:tabs>
        <w:rPr>
          <w:rFonts w:ascii="Arial" w:hAnsi="Arial"/>
        </w:rPr>
      </w:pPr>
    </w:p>
    <w:p w:rsidR="006A2A90" w:rsidRDefault="006A2A90" w:rsidP="000C2AC0">
      <w:pPr>
        <w:tabs>
          <w:tab w:val="right" w:pos="9360"/>
        </w:tabs>
        <w:rPr>
          <w:rFonts w:ascii="Arial" w:hAnsi="Arial"/>
        </w:rPr>
      </w:pPr>
      <w:proofErr w:type="gramStart"/>
      <w:r>
        <w:rPr>
          <w:rFonts w:ascii="Arial" w:hAnsi="Arial"/>
        </w:rPr>
        <w:t xml:space="preserve">A  </w:t>
      </w:r>
      <w:r w:rsidR="007F58F7">
        <w:rPr>
          <w:rFonts w:ascii="Arial" w:hAnsi="Arial"/>
        </w:rPr>
        <w:t>35</w:t>
      </w:r>
      <w:proofErr w:type="gramEnd"/>
      <w:r>
        <w:rPr>
          <w:rFonts w:ascii="Arial" w:hAnsi="Arial"/>
        </w:rPr>
        <w:tab/>
      </w:r>
      <w:r w:rsidR="001D48C2">
        <w:rPr>
          <w:rFonts w:ascii="Arial" w:hAnsi="Arial"/>
        </w:rPr>
        <w:fldChar w:fldCharType="begin">
          <w:ffData>
            <w:name w:val="Text1"/>
            <w:enabled/>
            <w:calcOnExit w:val="0"/>
            <w:statusText w:type="text" w:val="Type in the &quot;Commission Date (i.e. 05/05/99)&quot; then Press Tab to reach the next field."/>
            <w:textInput/>
          </w:ffData>
        </w:fldChar>
      </w:r>
      <w:bookmarkStart w:id="0" w:name="Text1"/>
      <w:r>
        <w:rPr>
          <w:rFonts w:ascii="Arial" w:hAnsi="Arial"/>
        </w:rPr>
        <w:instrText xml:space="preserve"> FORMTEXT </w:instrText>
      </w:r>
      <w:r w:rsidR="001D48C2">
        <w:rPr>
          <w:rFonts w:ascii="Arial" w:hAnsi="Arial"/>
        </w:rPr>
      </w:r>
      <w:r w:rsidR="001D48C2">
        <w:rPr>
          <w:rFonts w:ascii="Arial" w:hAnsi="Arial"/>
        </w:rPr>
        <w:fldChar w:fldCharType="separate"/>
      </w:r>
      <w:r>
        <w:rPr>
          <w:rFonts w:ascii="Arial" w:hAnsi="Arial"/>
          <w:noProof/>
        </w:rPr>
        <w:t>PRC 7911</w:t>
      </w:r>
      <w:r w:rsidR="001D48C2">
        <w:rPr>
          <w:rFonts w:ascii="Arial" w:hAnsi="Arial"/>
        </w:rPr>
        <w:fldChar w:fldCharType="end"/>
      </w:r>
      <w:bookmarkEnd w:id="0"/>
      <w:r w:rsidR="001C4D0D">
        <w:rPr>
          <w:rFonts w:ascii="Arial" w:hAnsi="Arial"/>
        </w:rPr>
        <w:t>.1</w:t>
      </w:r>
    </w:p>
    <w:p w:rsidR="006A2A90" w:rsidRDefault="006A2A90" w:rsidP="000C2AC0">
      <w:pPr>
        <w:tabs>
          <w:tab w:val="right" w:pos="9360"/>
        </w:tabs>
        <w:rPr>
          <w:rFonts w:ascii="Arial" w:hAnsi="Arial"/>
        </w:rPr>
      </w:pPr>
      <w:r>
        <w:rPr>
          <w:rFonts w:ascii="Arial" w:hAnsi="Arial"/>
        </w:rPr>
        <w:tab/>
      </w:r>
      <w:r w:rsidR="001D48C2">
        <w:rPr>
          <w:rFonts w:ascii="Arial" w:hAnsi="Arial"/>
        </w:rPr>
        <w:fldChar w:fldCharType="begin">
          <w:ffData>
            <w:name w:val="Text2"/>
            <w:enabled/>
            <w:calcOnExit w:val="0"/>
            <w:statusText w:type="text" w:val="Type in the &quot;File Number&quot; then Press Tab to reach the next field."/>
            <w:textInput/>
          </w:ffData>
        </w:fldChar>
      </w:r>
      <w:bookmarkStart w:id="1" w:name="Text2"/>
      <w:r>
        <w:rPr>
          <w:rFonts w:ascii="Arial" w:hAnsi="Arial"/>
        </w:rPr>
        <w:instrText xml:space="preserve"> FORMTEXT </w:instrText>
      </w:r>
      <w:r w:rsidR="001D48C2">
        <w:rPr>
          <w:rFonts w:ascii="Arial" w:hAnsi="Arial"/>
        </w:rPr>
      </w:r>
      <w:r w:rsidR="001D48C2">
        <w:rPr>
          <w:rFonts w:ascii="Arial" w:hAnsi="Arial"/>
        </w:rPr>
        <w:fldChar w:fldCharType="separate"/>
      </w:r>
      <w:r>
        <w:rPr>
          <w:rFonts w:ascii="Arial" w:hAnsi="Arial"/>
        </w:rPr>
        <w:t>PRC</w:t>
      </w:r>
      <w:r>
        <w:rPr>
          <w:rFonts w:ascii="Arial" w:hAnsi="Arial"/>
          <w:noProof/>
        </w:rPr>
        <w:t xml:space="preserve"> 4000</w:t>
      </w:r>
      <w:r w:rsidR="001D48C2">
        <w:rPr>
          <w:rFonts w:ascii="Arial" w:hAnsi="Arial"/>
        </w:rPr>
        <w:fldChar w:fldCharType="end"/>
      </w:r>
      <w:bookmarkEnd w:id="1"/>
      <w:r w:rsidR="001C4D0D">
        <w:rPr>
          <w:rFonts w:ascii="Arial" w:hAnsi="Arial"/>
        </w:rPr>
        <w:t>.1</w:t>
      </w:r>
    </w:p>
    <w:p w:rsidR="001C4D0D" w:rsidRDefault="001C4D0D" w:rsidP="000C2AC0">
      <w:pPr>
        <w:tabs>
          <w:tab w:val="right" w:pos="9360"/>
        </w:tabs>
        <w:rPr>
          <w:rFonts w:ascii="Arial" w:hAnsi="Arial"/>
        </w:rPr>
      </w:pPr>
      <w:r>
        <w:rPr>
          <w:rFonts w:ascii="Arial" w:hAnsi="Arial"/>
        </w:rPr>
        <w:tab/>
        <w:t>M. Voskanian</w:t>
      </w:r>
    </w:p>
    <w:p w:rsidR="006B0BF6" w:rsidRDefault="006A2A90" w:rsidP="000C2AC0">
      <w:pPr>
        <w:tabs>
          <w:tab w:val="right" w:pos="9360"/>
        </w:tabs>
        <w:rPr>
          <w:rFonts w:ascii="Arial" w:hAnsi="Arial"/>
        </w:rPr>
      </w:pPr>
      <w:proofErr w:type="gramStart"/>
      <w:r>
        <w:rPr>
          <w:rFonts w:ascii="Arial" w:hAnsi="Arial"/>
        </w:rPr>
        <w:t xml:space="preserve">S  </w:t>
      </w:r>
      <w:r w:rsidR="007F58F7">
        <w:rPr>
          <w:rFonts w:ascii="Arial" w:hAnsi="Arial"/>
        </w:rPr>
        <w:t>18</w:t>
      </w:r>
      <w:proofErr w:type="gramEnd"/>
      <w:r>
        <w:rPr>
          <w:rFonts w:ascii="Arial" w:hAnsi="Arial"/>
        </w:rPr>
        <w:tab/>
      </w:r>
      <w:r w:rsidR="007F58F7">
        <w:rPr>
          <w:rFonts w:ascii="Arial" w:hAnsi="Arial"/>
        </w:rPr>
        <w:t>J. Planck</w:t>
      </w:r>
    </w:p>
    <w:p w:rsidR="00C97787" w:rsidRDefault="00C97787" w:rsidP="000C2AC0">
      <w:pPr>
        <w:tabs>
          <w:tab w:val="left" w:pos="-1440"/>
          <w:tab w:val="left" w:pos="-720"/>
          <w:tab w:val="left" w:pos="720"/>
          <w:tab w:val="left" w:pos="1320"/>
          <w:tab w:val="left" w:pos="4680"/>
          <w:tab w:val="left" w:pos="7560"/>
        </w:tabs>
        <w:rPr>
          <w:rFonts w:ascii="Arial" w:hAnsi="Arial"/>
        </w:rPr>
      </w:pPr>
    </w:p>
    <w:p w:rsidR="001C4D0D" w:rsidRDefault="006A2A90" w:rsidP="000C2AC0">
      <w:pPr>
        <w:pStyle w:val="Heading1"/>
      </w:pPr>
      <w:r w:rsidRPr="00755D7A">
        <w:t xml:space="preserve">CONSIDER </w:t>
      </w:r>
      <w:r w:rsidR="004D4DF8" w:rsidRPr="00755D7A">
        <w:t>FINDING CARONE PETRO</w:t>
      </w:r>
      <w:r w:rsidR="006A0B90">
        <w:t>LE</w:t>
      </w:r>
      <w:r w:rsidR="004D4DF8" w:rsidRPr="00755D7A">
        <w:t xml:space="preserve">UM </w:t>
      </w:r>
      <w:r w:rsidR="005316F4">
        <w:t>CORPORATION</w:t>
      </w:r>
      <w:r w:rsidR="004D4DF8" w:rsidRPr="00755D7A">
        <w:t xml:space="preserve"> </w:t>
      </w:r>
    </w:p>
    <w:p w:rsidR="001C4D0D" w:rsidRDefault="004D4DF8" w:rsidP="000C2AC0">
      <w:pPr>
        <w:pStyle w:val="Heading1"/>
      </w:pPr>
      <w:r w:rsidRPr="00755D7A">
        <w:t>IN DEFAULT</w:t>
      </w:r>
      <w:r w:rsidR="006A2A90" w:rsidRPr="00755D7A">
        <w:t xml:space="preserve"> OF</w:t>
      </w:r>
      <w:r w:rsidR="00755D7A" w:rsidRPr="00755D7A">
        <w:t xml:space="preserve"> </w:t>
      </w:r>
      <w:r w:rsidR="006A2A90" w:rsidRPr="00755D7A">
        <w:t>SUBSURFACE (NO SURFACE USE)</w:t>
      </w:r>
      <w:r w:rsidR="003C0D5F">
        <w:t xml:space="preserve"> </w:t>
      </w:r>
    </w:p>
    <w:p w:rsidR="006A2A90" w:rsidRPr="00755D7A" w:rsidRDefault="004D4DF8" w:rsidP="000C2AC0">
      <w:pPr>
        <w:pStyle w:val="Heading1"/>
      </w:pPr>
      <w:proofErr w:type="gramStart"/>
      <w:r w:rsidRPr="00755D7A">
        <w:t>OIL AND GAS LEASE</w:t>
      </w:r>
      <w:r w:rsidR="001C4D0D">
        <w:t xml:space="preserve"> NO</w:t>
      </w:r>
      <w:r w:rsidRPr="00755D7A">
        <w:t>S</w:t>
      </w:r>
      <w:r w:rsidR="001C4D0D">
        <w:t>.</w:t>
      </w:r>
      <w:proofErr w:type="gramEnd"/>
      <w:r w:rsidRPr="00755D7A">
        <w:t xml:space="preserve"> </w:t>
      </w:r>
      <w:r w:rsidR="006A2A90" w:rsidRPr="00755D7A">
        <w:t xml:space="preserve">PRC </w:t>
      </w:r>
      <w:r w:rsidR="00755D7A" w:rsidRPr="00755D7A">
        <w:t>7911</w:t>
      </w:r>
      <w:r w:rsidR="001C4D0D">
        <w:t>.1</w:t>
      </w:r>
      <w:r w:rsidR="00755D7A" w:rsidRPr="00755D7A">
        <w:t xml:space="preserve"> AND PRC 4000</w:t>
      </w:r>
      <w:r w:rsidR="001C4D0D">
        <w:t>.1</w:t>
      </w:r>
      <w:r w:rsidR="00755D7A">
        <w:t>,</w:t>
      </w:r>
    </w:p>
    <w:p w:rsidR="001C4D0D" w:rsidRDefault="00755D7A" w:rsidP="000C2AC0">
      <w:pPr>
        <w:tabs>
          <w:tab w:val="center" w:pos="4680"/>
          <w:tab w:val="left" w:pos="7560"/>
        </w:tabs>
        <w:jc w:val="center"/>
        <w:rPr>
          <w:rFonts w:ascii="Arial" w:hAnsi="Arial"/>
          <w:b/>
        </w:rPr>
      </w:pPr>
      <w:r w:rsidRPr="00755D7A">
        <w:rPr>
          <w:rFonts w:ascii="Arial" w:hAnsi="Arial"/>
          <w:b/>
        </w:rPr>
        <w:t>OFFSHORE CARPINTERIA</w:t>
      </w:r>
      <w:r w:rsidR="006A2A90" w:rsidRPr="00755D7A">
        <w:rPr>
          <w:rFonts w:ascii="Arial" w:hAnsi="Arial"/>
          <w:b/>
        </w:rPr>
        <w:t>,</w:t>
      </w:r>
      <w:r>
        <w:rPr>
          <w:rFonts w:ascii="Arial" w:hAnsi="Arial"/>
          <w:b/>
        </w:rPr>
        <w:t xml:space="preserve"> </w:t>
      </w:r>
    </w:p>
    <w:p w:rsidR="006A2A90" w:rsidRPr="00755D7A" w:rsidRDefault="00755D7A" w:rsidP="000C2AC0">
      <w:pPr>
        <w:tabs>
          <w:tab w:val="center" w:pos="4680"/>
          <w:tab w:val="left" w:pos="7560"/>
        </w:tabs>
        <w:jc w:val="center"/>
        <w:rPr>
          <w:rFonts w:ascii="Arial" w:hAnsi="Arial"/>
          <w:b/>
        </w:rPr>
      </w:pPr>
      <w:r w:rsidRPr="00755D7A">
        <w:rPr>
          <w:rFonts w:ascii="Arial" w:hAnsi="Arial"/>
          <w:b/>
        </w:rPr>
        <w:t>SANTA BARBARA</w:t>
      </w:r>
      <w:r w:rsidR="006A2A90" w:rsidRPr="00755D7A">
        <w:rPr>
          <w:rFonts w:ascii="Arial" w:hAnsi="Arial"/>
          <w:b/>
        </w:rPr>
        <w:t xml:space="preserve"> COUNT</w:t>
      </w:r>
      <w:r w:rsidRPr="00755D7A">
        <w:rPr>
          <w:rFonts w:ascii="Arial" w:hAnsi="Arial"/>
          <w:b/>
        </w:rPr>
        <w:t>Y</w:t>
      </w:r>
    </w:p>
    <w:p w:rsidR="00C97787" w:rsidRPr="00755D7A" w:rsidRDefault="00C97787" w:rsidP="000C2AC0">
      <w:pPr>
        <w:tabs>
          <w:tab w:val="center" w:pos="4680"/>
          <w:tab w:val="left" w:pos="7560"/>
        </w:tabs>
        <w:jc w:val="center"/>
        <w:rPr>
          <w:rFonts w:ascii="Arial" w:hAnsi="Arial"/>
          <w:b/>
        </w:rPr>
      </w:pPr>
    </w:p>
    <w:p w:rsidR="006A2A90" w:rsidRDefault="006A2A90" w:rsidP="000C2AC0">
      <w:pPr>
        <w:tabs>
          <w:tab w:val="left" w:pos="-1440"/>
          <w:tab w:val="left" w:pos="-720"/>
          <w:tab w:val="left" w:pos="720"/>
          <w:tab w:val="left" w:pos="1320"/>
          <w:tab w:val="left" w:pos="4680"/>
          <w:tab w:val="left" w:pos="7560"/>
        </w:tabs>
        <w:rPr>
          <w:rFonts w:ascii="Arial" w:hAnsi="Arial"/>
        </w:rPr>
      </w:pPr>
      <w:r>
        <w:rPr>
          <w:rFonts w:ascii="Arial" w:hAnsi="Arial"/>
          <w:b/>
        </w:rPr>
        <w:t>LESSEE:</w:t>
      </w:r>
    </w:p>
    <w:p w:rsidR="006A2A90" w:rsidRDefault="001D48C2" w:rsidP="000C2AC0">
      <w:pPr>
        <w:tabs>
          <w:tab w:val="left" w:pos="-144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11"/>
            <w:enabled/>
            <w:calcOnExit w:val="0"/>
            <w:statusText w:type="text" w:val="Type in the &quot;Applicant Name/Company&quot; then Press Tab to reach the next field."/>
            <w:textInput/>
          </w:ffData>
        </w:fldChar>
      </w:r>
      <w:bookmarkStart w:id="2" w:name="Text11"/>
      <w:r w:rsidR="006A2A90">
        <w:rPr>
          <w:rFonts w:ascii="Arial" w:hAnsi="Arial"/>
        </w:rPr>
        <w:instrText xml:space="preserve"> FORMTEXT </w:instrText>
      </w:r>
      <w:r>
        <w:rPr>
          <w:rFonts w:ascii="Arial" w:hAnsi="Arial"/>
        </w:rPr>
      </w:r>
      <w:r>
        <w:rPr>
          <w:rFonts w:ascii="Arial" w:hAnsi="Arial"/>
        </w:rPr>
        <w:fldChar w:fldCharType="separate"/>
      </w:r>
      <w:r w:rsidR="006A2A90">
        <w:rPr>
          <w:rFonts w:ascii="Arial" w:hAnsi="Arial"/>
        </w:rPr>
        <w:t xml:space="preserve">Carone Petroleum </w:t>
      </w:r>
      <w:r>
        <w:rPr>
          <w:rFonts w:ascii="Arial" w:hAnsi="Arial"/>
        </w:rPr>
        <w:fldChar w:fldCharType="end"/>
      </w:r>
      <w:bookmarkEnd w:id="2"/>
      <w:r w:rsidR="005316F4">
        <w:rPr>
          <w:rFonts w:ascii="Arial" w:hAnsi="Arial"/>
        </w:rPr>
        <w:t>Corporation</w:t>
      </w:r>
    </w:p>
    <w:p w:rsidR="006A2A90" w:rsidRDefault="006A2A90" w:rsidP="000C2AC0">
      <w:pPr>
        <w:tabs>
          <w:tab w:val="left" w:pos="-1440"/>
          <w:tab w:val="left" w:pos="-720"/>
          <w:tab w:val="left" w:pos="720"/>
          <w:tab w:val="left" w:pos="1320"/>
          <w:tab w:val="left" w:pos="4680"/>
          <w:tab w:val="left" w:pos="7560"/>
        </w:tabs>
        <w:ind w:firstLine="720"/>
        <w:rPr>
          <w:rFonts w:ascii="Arial" w:hAnsi="Arial"/>
        </w:rPr>
      </w:pPr>
      <w:r>
        <w:rPr>
          <w:rFonts w:ascii="Arial" w:hAnsi="Arial"/>
        </w:rPr>
        <w:t xml:space="preserve">Attn.: </w:t>
      </w:r>
      <w:r w:rsidR="001D48C2">
        <w:rPr>
          <w:rFonts w:ascii="Arial" w:hAnsi="Arial"/>
        </w:rPr>
        <w:fldChar w:fldCharType="begin">
          <w:ffData>
            <w:name w:val="Text12"/>
            <w:enabled/>
            <w:calcOnExit w:val="0"/>
            <w:statusText w:type="text" w:val="Type in the &quot;Attn:&quot; then Press Tab to reach the next field."/>
            <w:textInput/>
          </w:ffData>
        </w:fldChar>
      </w:r>
      <w:bookmarkStart w:id="3" w:name="Text12"/>
      <w:r>
        <w:rPr>
          <w:rFonts w:ascii="Arial" w:hAnsi="Arial"/>
        </w:rPr>
        <w:instrText xml:space="preserve"> FORMTEXT </w:instrText>
      </w:r>
      <w:r w:rsidR="001D48C2">
        <w:rPr>
          <w:rFonts w:ascii="Arial" w:hAnsi="Arial"/>
        </w:rPr>
      </w:r>
      <w:r w:rsidR="001D48C2">
        <w:rPr>
          <w:rFonts w:ascii="Arial" w:hAnsi="Arial"/>
        </w:rPr>
        <w:fldChar w:fldCharType="separate"/>
      </w:r>
      <w:r>
        <w:rPr>
          <w:rFonts w:ascii="Arial" w:hAnsi="Arial"/>
          <w:noProof/>
        </w:rPr>
        <w:t>Mr. Charles W. Cappel, President</w:t>
      </w:r>
      <w:r w:rsidR="001D48C2">
        <w:rPr>
          <w:rFonts w:ascii="Arial" w:hAnsi="Arial"/>
        </w:rPr>
        <w:fldChar w:fldCharType="end"/>
      </w:r>
      <w:bookmarkEnd w:id="3"/>
    </w:p>
    <w:p w:rsidR="006A2A90" w:rsidRDefault="001D48C2" w:rsidP="000C2AC0">
      <w:pPr>
        <w:tabs>
          <w:tab w:val="left" w:pos="-144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13"/>
            <w:enabled/>
            <w:calcOnExit w:val="0"/>
            <w:statusText w:type="text" w:val="Type in the &quot;Street Address&quot; then Press Tab to reach the next field."/>
            <w:textInput/>
          </w:ffData>
        </w:fldChar>
      </w:r>
      <w:bookmarkStart w:id="4" w:name="Text13"/>
      <w:r w:rsidR="006A2A90">
        <w:rPr>
          <w:rFonts w:ascii="Arial" w:hAnsi="Arial"/>
        </w:rPr>
        <w:instrText xml:space="preserve"> FORMTEXT </w:instrText>
      </w:r>
      <w:r>
        <w:rPr>
          <w:rFonts w:ascii="Arial" w:hAnsi="Arial"/>
        </w:rPr>
      </w:r>
      <w:r>
        <w:rPr>
          <w:rFonts w:ascii="Arial" w:hAnsi="Arial"/>
        </w:rPr>
        <w:fldChar w:fldCharType="separate"/>
      </w:r>
      <w:r w:rsidR="006A2A90">
        <w:rPr>
          <w:rFonts w:ascii="Arial" w:hAnsi="Arial"/>
          <w:noProof/>
        </w:rPr>
        <w:t>1145 Eugenia Place, Suite 200</w:t>
      </w:r>
      <w:r>
        <w:rPr>
          <w:rFonts w:ascii="Arial" w:hAnsi="Arial"/>
        </w:rPr>
        <w:fldChar w:fldCharType="end"/>
      </w:r>
      <w:bookmarkEnd w:id="4"/>
    </w:p>
    <w:p w:rsidR="006A2A90" w:rsidRDefault="001D48C2" w:rsidP="000C2AC0">
      <w:pPr>
        <w:tabs>
          <w:tab w:val="left" w:pos="-1440"/>
          <w:tab w:val="left" w:pos="-720"/>
          <w:tab w:val="left" w:pos="720"/>
          <w:tab w:val="left" w:pos="1320"/>
          <w:tab w:val="left" w:pos="4680"/>
          <w:tab w:val="left" w:pos="7560"/>
        </w:tabs>
        <w:ind w:firstLine="720"/>
        <w:rPr>
          <w:rFonts w:ascii="Arial" w:hAnsi="Arial"/>
          <w:noProof/>
        </w:rPr>
      </w:pPr>
      <w:r>
        <w:rPr>
          <w:rFonts w:ascii="Arial" w:hAnsi="Arial"/>
        </w:rPr>
        <w:fldChar w:fldCharType="begin">
          <w:ffData>
            <w:name w:val="Text14"/>
            <w:enabled/>
            <w:calcOnExit w:val="0"/>
            <w:statusText w:type="text" w:val="Type in the &quot;City, State and Zip&quot; then Press Tab to reach the next field."/>
            <w:textInput/>
          </w:ffData>
        </w:fldChar>
      </w:r>
      <w:bookmarkStart w:id="5" w:name="Text14"/>
      <w:r w:rsidR="006A2A90">
        <w:rPr>
          <w:rFonts w:ascii="Arial" w:hAnsi="Arial"/>
        </w:rPr>
        <w:instrText xml:space="preserve"> FORMTEXT </w:instrText>
      </w:r>
      <w:r>
        <w:rPr>
          <w:rFonts w:ascii="Arial" w:hAnsi="Arial"/>
        </w:rPr>
      </w:r>
      <w:r>
        <w:rPr>
          <w:rFonts w:ascii="Arial" w:hAnsi="Arial"/>
        </w:rPr>
        <w:fldChar w:fldCharType="separate"/>
      </w:r>
      <w:r w:rsidR="006A2A90" w:rsidRPr="006A2A90">
        <w:rPr>
          <w:rFonts w:ascii="Arial" w:hAnsi="Arial"/>
          <w:noProof/>
        </w:rPr>
        <w:t>Carpinteria, CA  93013</w:t>
      </w:r>
    </w:p>
    <w:p w:rsidR="006A2A90" w:rsidRDefault="001D48C2" w:rsidP="000C2AC0">
      <w:pPr>
        <w:tabs>
          <w:tab w:val="left" w:pos="-1440"/>
          <w:tab w:val="left" w:pos="-720"/>
          <w:tab w:val="left" w:pos="720"/>
          <w:tab w:val="left" w:pos="1320"/>
          <w:tab w:val="left" w:pos="4680"/>
          <w:tab w:val="left" w:pos="7560"/>
        </w:tabs>
        <w:ind w:firstLine="720"/>
        <w:rPr>
          <w:rFonts w:ascii="Arial" w:hAnsi="Arial"/>
        </w:rPr>
      </w:pPr>
      <w:r>
        <w:rPr>
          <w:rFonts w:ascii="Arial" w:hAnsi="Arial"/>
        </w:rPr>
        <w:fldChar w:fldCharType="end"/>
      </w:r>
      <w:bookmarkEnd w:id="5"/>
    </w:p>
    <w:p w:rsidR="006A2A90" w:rsidRDefault="006A2A90" w:rsidP="000C2AC0">
      <w:pPr>
        <w:tabs>
          <w:tab w:val="left" w:pos="-1440"/>
          <w:tab w:val="left" w:pos="-720"/>
          <w:tab w:val="left" w:pos="720"/>
          <w:tab w:val="left" w:pos="1320"/>
          <w:tab w:val="left" w:pos="4680"/>
          <w:tab w:val="left" w:pos="7560"/>
        </w:tabs>
        <w:rPr>
          <w:rFonts w:ascii="Arial" w:hAnsi="Arial"/>
        </w:rPr>
      </w:pPr>
      <w:r>
        <w:rPr>
          <w:rFonts w:ascii="Arial" w:hAnsi="Arial"/>
          <w:b/>
        </w:rPr>
        <w:t>AREA, LAND TYPE, AND LOCATION:</w:t>
      </w:r>
    </w:p>
    <w:p w:rsidR="006A2A90" w:rsidRDefault="006A2A90" w:rsidP="000C2AC0">
      <w:pPr>
        <w:tabs>
          <w:tab w:val="left" w:pos="-1440"/>
          <w:tab w:val="left" w:pos="-720"/>
          <w:tab w:val="left" w:pos="720"/>
          <w:tab w:val="left" w:pos="1320"/>
          <w:tab w:val="left" w:pos="4680"/>
          <w:tab w:val="left" w:pos="7560"/>
        </w:tabs>
        <w:ind w:left="720"/>
        <w:rPr>
          <w:rFonts w:ascii="Arial" w:hAnsi="Arial"/>
        </w:rPr>
      </w:pPr>
      <w:proofErr w:type="gramStart"/>
      <w:r>
        <w:rPr>
          <w:rFonts w:ascii="Arial" w:hAnsi="Arial"/>
        </w:rPr>
        <w:t>Oil and Gas Lease</w:t>
      </w:r>
      <w:r w:rsidR="000C4AA7">
        <w:rPr>
          <w:rFonts w:ascii="Arial" w:hAnsi="Arial"/>
        </w:rPr>
        <w:t xml:space="preserve"> No.</w:t>
      </w:r>
      <w:proofErr w:type="gramEnd"/>
      <w:r>
        <w:rPr>
          <w:rFonts w:ascii="Arial" w:hAnsi="Arial"/>
        </w:rPr>
        <w:t xml:space="preserve"> PRC </w:t>
      </w:r>
      <w:r w:rsidR="00755D7A">
        <w:rPr>
          <w:rFonts w:ascii="Arial" w:hAnsi="Arial"/>
        </w:rPr>
        <w:t>7911</w:t>
      </w:r>
      <w:r w:rsidR="00310D24">
        <w:rPr>
          <w:rFonts w:ascii="Arial" w:hAnsi="Arial"/>
        </w:rPr>
        <w:t xml:space="preserve">.1 </w:t>
      </w:r>
      <w:r>
        <w:rPr>
          <w:rFonts w:ascii="Arial" w:hAnsi="Arial"/>
        </w:rPr>
        <w:t xml:space="preserve">contains </w:t>
      </w:r>
      <w:r w:rsidR="00310D24">
        <w:rPr>
          <w:rFonts w:ascii="Arial" w:hAnsi="Arial"/>
        </w:rPr>
        <w:t>approximately 1,541</w:t>
      </w:r>
      <w:r w:rsidR="00755D7A">
        <w:rPr>
          <w:rFonts w:ascii="Arial" w:hAnsi="Arial"/>
        </w:rPr>
        <w:t xml:space="preserve"> </w:t>
      </w:r>
      <w:r>
        <w:rPr>
          <w:rFonts w:ascii="Arial" w:hAnsi="Arial"/>
        </w:rPr>
        <w:t>acres of submerged land</w:t>
      </w:r>
      <w:r w:rsidR="000C4AA7">
        <w:rPr>
          <w:rFonts w:ascii="Arial" w:hAnsi="Arial"/>
        </w:rPr>
        <w:t>,</w:t>
      </w:r>
      <w:r w:rsidR="00310D24">
        <w:rPr>
          <w:rFonts w:ascii="Arial" w:hAnsi="Arial"/>
        </w:rPr>
        <w:t xml:space="preserve"> which originally comprised the southern portion of Oil and Gas Lease </w:t>
      </w:r>
      <w:r w:rsidR="001C4D0D">
        <w:rPr>
          <w:rFonts w:ascii="Arial" w:hAnsi="Arial"/>
        </w:rPr>
        <w:t xml:space="preserve">No. </w:t>
      </w:r>
      <w:r w:rsidR="00310D24">
        <w:rPr>
          <w:rFonts w:ascii="Arial" w:hAnsi="Arial"/>
        </w:rPr>
        <w:t xml:space="preserve">PRC 3150.1, </w:t>
      </w:r>
      <w:r w:rsidR="00755D7A">
        <w:rPr>
          <w:rFonts w:ascii="Arial" w:hAnsi="Arial"/>
        </w:rPr>
        <w:t xml:space="preserve">and Oil and Gas Lease </w:t>
      </w:r>
      <w:r w:rsidR="001C4D0D">
        <w:rPr>
          <w:rFonts w:ascii="Arial" w:hAnsi="Arial"/>
        </w:rPr>
        <w:t xml:space="preserve">No. </w:t>
      </w:r>
      <w:r w:rsidR="00755D7A">
        <w:rPr>
          <w:rFonts w:ascii="Arial" w:hAnsi="Arial"/>
        </w:rPr>
        <w:t>4000</w:t>
      </w:r>
      <w:r w:rsidR="00364520">
        <w:rPr>
          <w:rFonts w:ascii="Arial" w:hAnsi="Arial"/>
        </w:rPr>
        <w:t>.1</w:t>
      </w:r>
      <w:r w:rsidR="00755D7A">
        <w:rPr>
          <w:rFonts w:ascii="Arial" w:hAnsi="Arial"/>
        </w:rPr>
        <w:t xml:space="preserve"> </w:t>
      </w:r>
      <w:proofErr w:type="gramStart"/>
      <w:r w:rsidR="00755D7A">
        <w:rPr>
          <w:rFonts w:ascii="Arial" w:hAnsi="Arial"/>
        </w:rPr>
        <w:t>contains</w:t>
      </w:r>
      <w:proofErr w:type="gramEnd"/>
      <w:r w:rsidR="00755D7A">
        <w:rPr>
          <w:rFonts w:ascii="Arial" w:hAnsi="Arial"/>
        </w:rPr>
        <w:t xml:space="preserve"> approximately </w:t>
      </w:r>
      <w:r w:rsidR="002A4BA0">
        <w:rPr>
          <w:rFonts w:ascii="Arial" w:hAnsi="Arial"/>
        </w:rPr>
        <w:t xml:space="preserve">204 </w:t>
      </w:r>
      <w:r w:rsidR="00755D7A">
        <w:rPr>
          <w:rFonts w:ascii="Arial" w:hAnsi="Arial"/>
        </w:rPr>
        <w:t>acres of submerged land</w:t>
      </w:r>
      <w:r w:rsidR="004A3E46">
        <w:rPr>
          <w:rFonts w:ascii="Arial" w:hAnsi="Arial"/>
        </w:rPr>
        <w:t>.  Both are</w:t>
      </w:r>
      <w:r w:rsidR="00755D7A">
        <w:rPr>
          <w:rFonts w:ascii="Arial" w:hAnsi="Arial"/>
        </w:rPr>
        <w:t xml:space="preserve"> offshore Carpinteria</w:t>
      </w:r>
      <w:r>
        <w:rPr>
          <w:rFonts w:ascii="Arial" w:hAnsi="Arial"/>
        </w:rPr>
        <w:t>,</w:t>
      </w:r>
      <w:r w:rsidR="00755D7A">
        <w:rPr>
          <w:rFonts w:ascii="Arial" w:hAnsi="Arial"/>
        </w:rPr>
        <w:t xml:space="preserve"> Santa Barbara</w:t>
      </w:r>
      <w:r>
        <w:rPr>
          <w:rFonts w:ascii="Arial" w:hAnsi="Arial"/>
        </w:rPr>
        <w:t xml:space="preserve"> Coun</w:t>
      </w:r>
      <w:r w:rsidR="00755D7A">
        <w:rPr>
          <w:rFonts w:ascii="Arial" w:hAnsi="Arial"/>
        </w:rPr>
        <w:t>ty</w:t>
      </w:r>
      <w:r>
        <w:rPr>
          <w:rFonts w:ascii="Arial" w:hAnsi="Arial"/>
        </w:rPr>
        <w:t>, California.</w:t>
      </w:r>
    </w:p>
    <w:p w:rsidR="006A2A90" w:rsidRDefault="006A2A90" w:rsidP="000C2AC0">
      <w:pPr>
        <w:tabs>
          <w:tab w:val="left" w:pos="-1440"/>
          <w:tab w:val="left" w:pos="-720"/>
          <w:tab w:val="left" w:pos="720"/>
          <w:tab w:val="left" w:pos="1320"/>
          <w:tab w:val="left" w:pos="4680"/>
          <w:tab w:val="left" w:pos="7560"/>
        </w:tabs>
        <w:rPr>
          <w:rFonts w:ascii="Arial" w:hAnsi="Arial"/>
        </w:rPr>
      </w:pPr>
    </w:p>
    <w:p w:rsidR="006A2A90" w:rsidRDefault="006A2A90" w:rsidP="000C2AC0">
      <w:pPr>
        <w:tabs>
          <w:tab w:val="left" w:pos="-1440"/>
          <w:tab w:val="left" w:pos="-720"/>
          <w:tab w:val="left" w:pos="720"/>
          <w:tab w:val="left" w:pos="1320"/>
          <w:tab w:val="left" w:pos="4680"/>
          <w:tab w:val="left" w:pos="7560"/>
        </w:tabs>
        <w:rPr>
          <w:rFonts w:ascii="Arial" w:hAnsi="Arial"/>
          <w:b/>
        </w:rPr>
      </w:pPr>
      <w:r>
        <w:rPr>
          <w:rFonts w:ascii="Arial" w:hAnsi="Arial"/>
          <w:b/>
        </w:rPr>
        <w:t>BACKGROUND:</w:t>
      </w:r>
    </w:p>
    <w:p w:rsidR="00D90207" w:rsidRPr="00D90207" w:rsidRDefault="00366CB7" w:rsidP="000C2AC0">
      <w:pPr>
        <w:tabs>
          <w:tab w:val="left" w:pos="-1440"/>
          <w:tab w:val="left" w:pos="-720"/>
          <w:tab w:val="left" w:pos="720"/>
          <w:tab w:val="left" w:pos="1320"/>
          <w:tab w:val="left" w:pos="4680"/>
          <w:tab w:val="left" w:pos="7560"/>
        </w:tabs>
        <w:ind w:left="720"/>
        <w:rPr>
          <w:rFonts w:ascii="Arial" w:hAnsi="Arial"/>
          <w:b/>
        </w:rPr>
      </w:pPr>
      <w:r>
        <w:rPr>
          <w:rFonts w:ascii="Arial" w:hAnsi="Arial"/>
          <w:b/>
        </w:rPr>
        <w:t>Background – Lease Acquisitions</w:t>
      </w:r>
      <w:r w:rsidRPr="00366CB7">
        <w:rPr>
          <w:rFonts w:ascii="Arial" w:hAnsi="Arial"/>
          <w:b/>
        </w:rPr>
        <w:t>, Conditions and the Development Plan</w:t>
      </w:r>
    </w:p>
    <w:p w:rsidR="006A2A90" w:rsidRDefault="006372B9" w:rsidP="000C2AC0">
      <w:pPr>
        <w:tabs>
          <w:tab w:val="left" w:pos="-1440"/>
          <w:tab w:val="left" w:pos="-720"/>
          <w:tab w:val="left" w:pos="720"/>
          <w:tab w:val="left" w:pos="1320"/>
          <w:tab w:val="left" w:pos="4680"/>
          <w:tab w:val="left" w:pos="7560"/>
        </w:tabs>
        <w:ind w:left="720"/>
        <w:rPr>
          <w:rFonts w:ascii="Arial" w:hAnsi="Arial"/>
        </w:rPr>
      </w:pPr>
      <w:proofErr w:type="gramStart"/>
      <w:r>
        <w:rPr>
          <w:rFonts w:ascii="Arial" w:hAnsi="Arial"/>
        </w:rPr>
        <w:t xml:space="preserve">Oil and Gas </w:t>
      </w:r>
      <w:r w:rsidR="009763A7">
        <w:rPr>
          <w:rFonts w:ascii="Arial" w:hAnsi="Arial"/>
        </w:rPr>
        <w:t>L</w:t>
      </w:r>
      <w:r>
        <w:rPr>
          <w:rFonts w:ascii="Arial" w:hAnsi="Arial"/>
        </w:rPr>
        <w:t>ease</w:t>
      </w:r>
      <w:r w:rsidR="003C0D5F">
        <w:rPr>
          <w:rFonts w:ascii="Arial" w:hAnsi="Arial"/>
        </w:rPr>
        <w:t xml:space="preserve"> </w:t>
      </w:r>
      <w:r w:rsidR="001C4D0D">
        <w:rPr>
          <w:rFonts w:ascii="Arial" w:hAnsi="Arial"/>
        </w:rPr>
        <w:t>No.</w:t>
      </w:r>
      <w:proofErr w:type="gramEnd"/>
      <w:r w:rsidR="001C4D0D">
        <w:rPr>
          <w:rFonts w:ascii="Arial" w:hAnsi="Arial"/>
        </w:rPr>
        <w:t xml:space="preserve"> </w:t>
      </w:r>
      <w:r w:rsidR="003C0D5F">
        <w:rPr>
          <w:rFonts w:ascii="Arial" w:hAnsi="Arial"/>
        </w:rPr>
        <w:t>PRC 3150</w:t>
      </w:r>
      <w:r w:rsidR="00364520">
        <w:rPr>
          <w:rFonts w:ascii="Arial" w:hAnsi="Arial"/>
        </w:rPr>
        <w:t>.1</w:t>
      </w:r>
      <w:r w:rsidR="003C0D5F">
        <w:rPr>
          <w:rFonts w:ascii="Arial" w:hAnsi="Arial"/>
        </w:rPr>
        <w:t>, consisting of approximately 5,553 acres offshore</w:t>
      </w:r>
      <w:r w:rsidR="000C4AA7">
        <w:rPr>
          <w:rFonts w:ascii="Arial" w:hAnsi="Arial"/>
        </w:rPr>
        <w:t xml:space="preserve"> and south of the c</w:t>
      </w:r>
      <w:r w:rsidR="001F601C">
        <w:rPr>
          <w:rFonts w:ascii="Arial" w:hAnsi="Arial"/>
        </w:rPr>
        <w:t>ity of</w:t>
      </w:r>
      <w:r w:rsidR="003C0D5F">
        <w:rPr>
          <w:rFonts w:ascii="Arial" w:hAnsi="Arial"/>
        </w:rPr>
        <w:t xml:space="preserve"> Carpinteria, was originally leased to Standard Oil Company of California (later Chevron) and Richfield Oil Corporation (later ARCO) in July 1964.  T</w:t>
      </w:r>
      <w:r w:rsidR="00E06ED4">
        <w:rPr>
          <w:rFonts w:ascii="Arial" w:hAnsi="Arial"/>
        </w:rPr>
        <w:t>he lessees installed t</w:t>
      </w:r>
      <w:r w:rsidR="003C0D5F">
        <w:rPr>
          <w:rFonts w:ascii="Arial" w:hAnsi="Arial"/>
        </w:rPr>
        <w:t xml:space="preserve">wo platforms (Hope and Heidi) </w:t>
      </w:r>
      <w:r w:rsidR="00E06ED4">
        <w:rPr>
          <w:rFonts w:ascii="Arial" w:hAnsi="Arial"/>
        </w:rPr>
        <w:t>on the leased lands</w:t>
      </w:r>
      <w:r w:rsidR="00FC6B99">
        <w:rPr>
          <w:rFonts w:ascii="Arial" w:hAnsi="Arial"/>
        </w:rPr>
        <w:t>,</w:t>
      </w:r>
      <w:r w:rsidR="003C0D5F">
        <w:rPr>
          <w:rFonts w:ascii="Arial" w:hAnsi="Arial"/>
        </w:rPr>
        <w:t xml:space="preserve"> and drilling and production operations continued </w:t>
      </w:r>
      <w:r w:rsidR="004A3E46">
        <w:rPr>
          <w:rFonts w:ascii="Arial" w:hAnsi="Arial"/>
        </w:rPr>
        <w:t xml:space="preserve">from </w:t>
      </w:r>
      <w:r w:rsidR="007F58F7">
        <w:rPr>
          <w:rFonts w:ascii="Arial" w:hAnsi="Arial"/>
        </w:rPr>
        <w:t>196</w:t>
      </w:r>
      <w:r w:rsidR="001F1CE9">
        <w:rPr>
          <w:rFonts w:ascii="Arial" w:hAnsi="Arial"/>
        </w:rPr>
        <w:t>6</w:t>
      </w:r>
      <w:r w:rsidR="007F58F7">
        <w:rPr>
          <w:rFonts w:ascii="Arial" w:hAnsi="Arial"/>
        </w:rPr>
        <w:t xml:space="preserve"> until 1992</w:t>
      </w:r>
      <w:r w:rsidR="004A3E46">
        <w:rPr>
          <w:rFonts w:ascii="Arial" w:hAnsi="Arial"/>
        </w:rPr>
        <w:t xml:space="preserve">.  </w:t>
      </w:r>
      <w:r w:rsidR="007F58F7">
        <w:rPr>
          <w:rFonts w:ascii="Arial" w:hAnsi="Arial"/>
        </w:rPr>
        <w:t>Between 1992 and 1996</w:t>
      </w:r>
      <w:r w:rsidR="00FC6B99">
        <w:rPr>
          <w:rFonts w:ascii="Arial" w:hAnsi="Arial"/>
        </w:rPr>
        <w:t>,</w:t>
      </w:r>
      <w:r w:rsidR="007F58F7">
        <w:rPr>
          <w:rFonts w:ascii="Arial" w:hAnsi="Arial"/>
        </w:rPr>
        <w:t xml:space="preserve"> </w:t>
      </w:r>
      <w:r w:rsidR="0057646A">
        <w:rPr>
          <w:rFonts w:ascii="Arial" w:hAnsi="Arial"/>
        </w:rPr>
        <w:t>Hope and Heidi and two other platforms on an adjacent lease</w:t>
      </w:r>
      <w:r w:rsidR="003C0D5F">
        <w:rPr>
          <w:rFonts w:ascii="Arial" w:hAnsi="Arial"/>
        </w:rPr>
        <w:t xml:space="preserve"> were removed.  </w:t>
      </w:r>
      <w:r w:rsidR="004945BB">
        <w:rPr>
          <w:rFonts w:ascii="Arial" w:hAnsi="Arial"/>
        </w:rPr>
        <w:t>ARCO and Chevron assigned t</w:t>
      </w:r>
      <w:r w:rsidR="003C0D5F">
        <w:rPr>
          <w:rFonts w:ascii="Arial" w:hAnsi="Arial"/>
        </w:rPr>
        <w:t>he southern portion of lease</w:t>
      </w:r>
      <w:r w:rsidR="004945BB">
        <w:rPr>
          <w:rFonts w:ascii="Arial" w:hAnsi="Arial"/>
        </w:rPr>
        <w:t xml:space="preserve"> </w:t>
      </w:r>
      <w:r w:rsidR="001C4D0D">
        <w:rPr>
          <w:rFonts w:ascii="Arial" w:hAnsi="Arial"/>
        </w:rPr>
        <w:t xml:space="preserve">No. </w:t>
      </w:r>
      <w:r w:rsidR="004945BB">
        <w:rPr>
          <w:rFonts w:ascii="Arial" w:hAnsi="Arial"/>
        </w:rPr>
        <w:t>PRC 3150</w:t>
      </w:r>
      <w:r w:rsidR="001C4D0D">
        <w:rPr>
          <w:rFonts w:ascii="Arial" w:hAnsi="Arial"/>
        </w:rPr>
        <w:t>.1</w:t>
      </w:r>
      <w:r w:rsidR="003C0D5F">
        <w:rPr>
          <w:rFonts w:ascii="Arial" w:hAnsi="Arial"/>
        </w:rPr>
        <w:t xml:space="preserve">, </w:t>
      </w:r>
      <w:r w:rsidR="005316F4">
        <w:rPr>
          <w:rFonts w:ascii="Arial" w:hAnsi="Arial"/>
        </w:rPr>
        <w:t>containing</w:t>
      </w:r>
      <w:r w:rsidR="003C0D5F">
        <w:rPr>
          <w:rFonts w:ascii="Arial" w:hAnsi="Arial"/>
        </w:rPr>
        <w:t xml:space="preserve"> approximately 1</w:t>
      </w:r>
      <w:r w:rsidR="005316F4">
        <w:rPr>
          <w:rFonts w:ascii="Arial" w:hAnsi="Arial"/>
        </w:rPr>
        <w:t>,</w:t>
      </w:r>
      <w:r w:rsidR="003C0D5F">
        <w:rPr>
          <w:rFonts w:ascii="Arial" w:hAnsi="Arial"/>
        </w:rPr>
        <w:t>541 acres</w:t>
      </w:r>
      <w:r w:rsidR="005316F4">
        <w:rPr>
          <w:rFonts w:ascii="Arial" w:hAnsi="Arial"/>
        </w:rPr>
        <w:t>,</w:t>
      </w:r>
      <w:r w:rsidR="003C0D5F">
        <w:rPr>
          <w:rFonts w:ascii="Arial" w:hAnsi="Arial"/>
        </w:rPr>
        <w:t xml:space="preserve"> to Carone Petroleum Corporation</w:t>
      </w:r>
      <w:r w:rsidR="004945BB">
        <w:rPr>
          <w:rFonts w:ascii="Arial" w:hAnsi="Arial"/>
        </w:rPr>
        <w:t xml:space="preserve"> (Carone).  That assignment was approved by the Commission</w:t>
      </w:r>
      <w:r w:rsidR="003C0D5F">
        <w:rPr>
          <w:rFonts w:ascii="Arial" w:hAnsi="Arial"/>
        </w:rPr>
        <w:t xml:space="preserve"> </w:t>
      </w:r>
      <w:r w:rsidR="004945BB">
        <w:rPr>
          <w:rFonts w:ascii="Arial" w:hAnsi="Arial"/>
        </w:rPr>
        <w:t>o</w:t>
      </w:r>
      <w:r w:rsidR="003C0D5F">
        <w:rPr>
          <w:rFonts w:ascii="Arial" w:hAnsi="Arial"/>
        </w:rPr>
        <w:t>n October</w:t>
      </w:r>
      <w:r w:rsidR="00AE6D6A">
        <w:rPr>
          <w:rFonts w:ascii="Arial" w:hAnsi="Arial"/>
        </w:rPr>
        <w:t xml:space="preserve"> 28</w:t>
      </w:r>
      <w:r w:rsidR="004945BB">
        <w:rPr>
          <w:rFonts w:ascii="Arial" w:hAnsi="Arial"/>
        </w:rPr>
        <w:t>,</w:t>
      </w:r>
      <w:r w:rsidR="003C0D5F">
        <w:rPr>
          <w:rFonts w:ascii="Arial" w:hAnsi="Arial"/>
        </w:rPr>
        <w:t xml:space="preserve"> 1996.  The</w:t>
      </w:r>
      <w:r w:rsidR="001C4D0D">
        <w:rPr>
          <w:rFonts w:ascii="Arial" w:hAnsi="Arial"/>
        </w:rPr>
        <w:t xml:space="preserve"> assigned lease</w:t>
      </w:r>
      <w:r w:rsidR="000C4AA7">
        <w:rPr>
          <w:rFonts w:ascii="Arial" w:hAnsi="Arial"/>
        </w:rPr>
        <w:t xml:space="preserve"> was</w:t>
      </w:r>
      <w:r w:rsidR="000116B1">
        <w:rPr>
          <w:rFonts w:ascii="Arial" w:hAnsi="Arial"/>
        </w:rPr>
        <w:t xml:space="preserve"> re-designated Oil and Gas Lease </w:t>
      </w:r>
      <w:r w:rsidR="001C4D0D">
        <w:rPr>
          <w:rFonts w:ascii="Arial" w:hAnsi="Arial"/>
        </w:rPr>
        <w:t xml:space="preserve">No. </w:t>
      </w:r>
      <w:r w:rsidR="000116B1">
        <w:rPr>
          <w:rFonts w:ascii="Arial" w:hAnsi="Arial"/>
        </w:rPr>
        <w:t>PRC 7911</w:t>
      </w:r>
      <w:r w:rsidR="001C4D0D">
        <w:rPr>
          <w:rFonts w:ascii="Arial" w:hAnsi="Arial"/>
        </w:rPr>
        <w:t>.1</w:t>
      </w:r>
      <w:r w:rsidR="000116B1">
        <w:rPr>
          <w:rFonts w:ascii="Arial" w:hAnsi="Arial"/>
        </w:rPr>
        <w:t>,</w:t>
      </w:r>
      <w:r w:rsidR="003C0D5F">
        <w:rPr>
          <w:rFonts w:ascii="Arial" w:hAnsi="Arial"/>
        </w:rPr>
        <w:t xml:space="preserve"> </w:t>
      </w:r>
      <w:r w:rsidR="004D3E5A">
        <w:rPr>
          <w:rFonts w:ascii="Arial" w:hAnsi="Arial"/>
        </w:rPr>
        <w:t>is</w:t>
      </w:r>
      <w:r w:rsidR="003C0D5F">
        <w:rPr>
          <w:rFonts w:ascii="Arial" w:hAnsi="Arial"/>
        </w:rPr>
        <w:t xml:space="preserve"> limited to subsurface (no surface use) operations by Carone</w:t>
      </w:r>
      <w:r w:rsidR="00AE6D6A">
        <w:rPr>
          <w:rFonts w:ascii="Arial" w:hAnsi="Arial"/>
        </w:rPr>
        <w:t>, and</w:t>
      </w:r>
      <w:r w:rsidR="004D3E5A">
        <w:rPr>
          <w:rFonts w:ascii="Arial" w:hAnsi="Arial"/>
        </w:rPr>
        <w:t xml:space="preserve"> is</w:t>
      </w:r>
      <w:r w:rsidR="00AE6D6A">
        <w:rPr>
          <w:rFonts w:ascii="Arial" w:hAnsi="Arial"/>
        </w:rPr>
        <w:t xml:space="preserve"> to be accessed and developed</w:t>
      </w:r>
      <w:r w:rsidR="003C0D5F">
        <w:rPr>
          <w:rFonts w:ascii="Arial" w:hAnsi="Arial"/>
        </w:rPr>
        <w:t xml:space="preserve"> </w:t>
      </w:r>
      <w:r w:rsidR="004945BB">
        <w:rPr>
          <w:rFonts w:ascii="Arial" w:hAnsi="Arial"/>
        </w:rPr>
        <w:t>from Platform</w:t>
      </w:r>
      <w:r w:rsidR="003C0D5F">
        <w:rPr>
          <w:rFonts w:ascii="Arial" w:hAnsi="Arial"/>
        </w:rPr>
        <w:t xml:space="preserve"> Hogan</w:t>
      </w:r>
      <w:r w:rsidR="00D301FC">
        <w:rPr>
          <w:rFonts w:ascii="Arial" w:hAnsi="Arial"/>
        </w:rPr>
        <w:t xml:space="preserve"> which Carone </w:t>
      </w:r>
      <w:r w:rsidR="00D301FC">
        <w:rPr>
          <w:rFonts w:ascii="Arial" w:hAnsi="Arial"/>
        </w:rPr>
        <w:lastRenderedPageBreak/>
        <w:t>operates in federal waters</w:t>
      </w:r>
      <w:r w:rsidR="00FC6B99">
        <w:rPr>
          <w:rFonts w:ascii="Arial" w:hAnsi="Arial"/>
        </w:rPr>
        <w:t xml:space="preserve"> on the Outer Continental Shelf</w:t>
      </w:r>
      <w:r w:rsidR="003C0D5F">
        <w:rPr>
          <w:rFonts w:ascii="Arial" w:hAnsi="Arial"/>
        </w:rPr>
        <w:t xml:space="preserve">.  The assignment was </w:t>
      </w:r>
      <w:r w:rsidR="00D301FC">
        <w:rPr>
          <w:rFonts w:ascii="Arial" w:hAnsi="Arial"/>
        </w:rPr>
        <w:t xml:space="preserve">intended to </w:t>
      </w:r>
      <w:r w:rsidR="00AE6D6A">
        <w:rPr>
          <w:rFonts w:ascii="Arial" w:hAnsi="Arial"/>
        </w:rPr>
        <w:t>further the</w:t>
      </w:r>
      <w:r w:rsidR="003C0D5F">
        <w:rPr>
          <w:rFonts w:ascii="Arial" w:hAnsi="Arial"/>
        </w:rPr>
        <w:t xml:space="preserve"> best interest</w:t>
      </w:r>
      <w:r w:rsidR="00D301FC">
        <w:rPr>
          <w:rFonts w:ascii="Arial" w:hAnsi="Arial"/>
        </w:rPr>
        <w:t>s</w:t>
      </w:r>
      <w:r w:rsidR="003C0D5F">
        <w:rPr>
          <w:rFonts w:ascii="Arial" w:hAnsi="Arial"/>
        </w:rPr>
        <w:t xml:space="preserve"> of the State</w:t>
      </w:r>
      <w:r w:rsidR="006A0B90" w:rsidRPr="006A0B90">
        <w:rPr>
          <w:rFonts w:ascii="Arial" w:hAnsi="Arial"/>
        </w:rPr>
        <w:t xml:space="preserve"> </w:t>
      </w:r>
      <w:r w:rsidR="003F7221">
        <w:rPr>
          <w:rFonts w:ascii="Arial" w:hAnsi="Arial"/>
        </w:rPr>
        <w:t xml:space="preserve">by preventing drainage of oil and gas resources beneath these lands from </w:t>
      </w:r>
      <w:r w:rsidR="00D301FC">
        <w:rPr>
          <w:rFonts w:ascii="Arial" w:hAnsi="Arial"/>
        </w:rPr>
        <w:t>Carone’s operations on</w:t>
      </w:r>
      <w:r w:rsidR="003F7221">
        <w:rPr>
          <w:rFonts w:ascii="Arial" w:hAnsi="Arial"/>
        </w:rPr>
        <w:t xml:space="preserve"> adjacent</w:t>
      </w:r>
      <w:r w:rsidR="00D301FC">
        <w:rPr>
          <w:rFonts w:ascii="Arial" w:hAnsi="Arial"/>
        </w:rPr>
        <w:t xml:space="preserve"> federal lands</w:t>
      </w:r>
      <w:r w:rsidR="003C0D5F">
        <w:rPr>
          <w:rFonts w:ascii="Arial" w:hAnsi="Arial"/>
        </w:rPr>
        <w:t xml:space="preserve">. </w:t>
      </w:r>
      <w:r w:rsidR="000116B1">
        <w:rPr>
          <w:rFonts w:ascii="Arial" w:hAnsi="Arial"/>
        </w:rPr>
        <w:t xml:space="preserve"> </w:t>
      </w:r>
      <w:r w:rsidR="00AE6D6A">
        <w:rPr>
          <w:rFonts w:ascii="Arial" w:hAnsi="Arial"/>
        </w:rPr>
        <w:t>T</w:t>
      </w:r>
      <w:r w:rsidR="000116B1">
        <w:rPr>
          <w:rFonts w:ascii="Arial" w:hAnsi="Arial"/>
        </w:rPr>
        <w:t xml:space="preserve">he </w:t>
      </w:r>
      <w:r w:rsidR="00D301FC">
        <w:rPr>
          <w:rFonts w:ascii="Arial" w:hAnsi="Arial"/>
        </w:rPr>
        <w:t xml:space="preserve">Commission later approved an assignment of the balance </w:t>
      </w:r>
      <w:r w:rsidR="000116B1">
        <w:rPr>
          <w:rFonts w:ascii="Arial" w:hAnsi="Arial"/>
        </w:rPr>
        <w:t xml:space="preserve">of Oil and Gas Lease </w:t>
      </w:r>
      <w:r w:rsidR="001C4D0D">
        <w:rPr>
          <w:rFonts w:ascii="Arial" w:hAnsi="Arial"/>
        </w:rPr>
        <w:t xml:space="preserve">No. </w:t>
      </w:r>
      <w:r w:rsidR="000116B1">
        <w:rPr>
          <w:rFonts w:ascii="Arial" w:hAnsi="Arial"/>
        </w:rPr>
        <w:t>PRC 3150</w:t>
      </w:r>
      <w:r w:rsidR="001C4D0D">
        <w:rPr>
          <w:rFonts w:ascii="Arial" w:hAnsi="Arial"/>
        </w:rPr>
        <w:t>.1</w:t>
      </w:r>
      <w:r w:rsidR="000116B1">
        <w:rPr>
          <w:rFonts w:ascii="Arial" w:hAnsi="Arial"/>
        </w:rPr>
        <w:t xml:space="preserve"> to Venoco for potential development </w:t>
      </w:r>
      <w:r w:rsidR="00D301FC">
        <w:rPr>
          <w:rFonts w:ascii="Arial" w:hAnsi="Arial"/>
        </w:rPr>
        <w:t xml:space="preserve">by Venoco from its onshore facilities </w:t>
      </w:r>
      <w:r w:rsidR="000116B1">
        <w:rPr>
          <w:rFonts w:ascii="Arial" w:hAnsi="Arial"/>
        </w:rPr>
        <w:t>of a near shore geologic structure</w:t>
      </w:r>
      <w:r w:rsidR="00AE6D6A">
        <w:rPr>
          <w:rFonts w:ascii="Arial" w:hAnsi="Arial"/>
        </w:rPr>
        <w:t xml:space="preserve"> just offshore and</w:t>
      </w:r>
      <w:r w:rsidR="000116B1">
        <w:rPr>
          <w:rFonts w:ascii="Arial" w:hAnsi="Arial"/>
        </w:rPr>
        <w:t xml:space="preserve"> under </w:t>
      </w:r>
      <w:r w:rsidR="000C4AA7">
        <w:rPr>
          <w:rFonts w:ascii="Arial" w:hAnsi="Arial"/>
        </w:rPr>
        <w:t>the c</w:t>
      </w:r>
      <w:r w:rsidR="00AE6D6A">
        <w:rPr>
          <w:rFonts w:ascii="Arial" w:hAnsi="Arial"/>
        </w:rPr>
        <w:t xml:space="preserve">ity of </w:t>
      </w:r>
      <w:r w:rsidR="000116B1">
        <w:rPr>
          <w:rFonts w:ascii="Arial" w:hAnsi="Arial"/>
        </w:rPr>
        <w:t>Carpinteria.</w:t>
      </w:r>
      <w:r w:rsidR="003C0D5F">
        <w:rPr>
          <w:rFonts w:ascii="Arial" w:hAnsi="Arial"/>
        </w:rPr>
        <w:t xml:space="preserve"> </w:t>
      </w:r>
    </w:p>
    <w:p w:rsidR="000116B1" w:rsidRDefault="000116B1" w:rsidP="000C2AC0">
      <w:pPr>
        <w:tabs>
          <w:tab w:val="left" w:pos="-1440"/>
          <w:tab w:val="left" w:pos="-720"/>
          <w:tab w:val="left" w:pos="720"/>
          <w:tab w:val="left" w:pos="1320"/>
          <w:tab w:val="left" w:pos="4680"/>
          <w:tab w:val="left" w:pos="7560"/>
        </w:tabs>
        <w:ind w:left="720"/>
        <w:rPr>
          <w:rFonts w:ascii="Arial" w:hAnsi="Arial"/>
        </w:rPr>
      </w:pPr>
    </w:p>
    <w:p w:rsidR="000116B1" w:rsidRDefault="000116B1" w:rsidP="000C2AC0">
      <w:pPr>
        <w:tabs>
          <w:tab w:val="left" w:pos="-1440"/>
          <w:tab w:val="left" w:pos="-720"/>
          <w:tab w:val="left" w:pos="720"/>
          <w:tab w:val="left" w:pos="1320"/>
          <w:tab w:val="left" w:pos="4680"/>
          <w:tab w:val="left" w:pos="7560"/>
        </w:tabs>
        <w:ind w:left="720"/>
        <w:rPr>
          <w:rFonts w:ascii="Arial" w:hAnsi="Arial"/>
        </w:rPr>
      </w:pPr>
      <w:proofErr w:type="gramStart"/>
      <w:r>
        <w:rPr>
          <w:rFonts w:ascii="Arial" w:hAnsi="Arial"/>
        </w:rPr>
        <w:t xml:space="preserve">Oil and Gas Lease </w:t>
      </w:r>
      <w:r w:rsidR="001C4D0D">
        <w:rPr>
          <w:rFonts w:ascii="Arial" w:hAnsi="Arial"/>
        </w:rPr>
        <w:t>No.</w:t>
      </w:r>
      <w:proofErr w:type="gramEnd"/>
      <w:r w:rsidR="001C4D0D">
        <w:rPr>
          <w:rFonts w:ascii="Arial" w:hAnsi="Arial"/>
        </w:rPr>
        <w:t xml:space="preserve"> </w:t>
      </w:r>
      <w:r>
        <w:rPr>
          <w:rFonts w:ascii="Arial" w:hAnsi="Arial"/>
        </w:rPr>
        <w:t>PRC 4000</w:t>
      </w:r>
      <w:r w:rsidR="001C4D0D">
        <w:rPr>
          <w:rFonts w:ascii="Arial" w:hAnsi="Arial"/>
        </w:rPr>
        <w:t>.1</w:t>
      </w:r>
      <w:r>
        <w:rPr>
          <w:rFonts w:ascii="Arial" w:hAnsi="Arial"/>
        </w:rPr>
        <w:t>, consisting of approximately 204 acres</w:t>
      </w:r>
      <w:r w:rsidR="001F601C">
        <w:rPr>
          <w:rFonts w:ascii="Arial" w:hAnsi="Arial"/>
        </w:rPr>
        <w:t xml:space="preserve"> of submerged land</w:t>
      </w:r>
      <w:r>
        <w:rPr>
          <w:rFonts w:ascii="Arial" w:hAnsi="Arial"/>
        </w:rPr>
        <w:t xml:space="preserve"> lying between the souther</w:t>
      </w:r>
      <w:r w:rsidR="00CE78EC">
        <w:rPr>
          <w:rFonts w:ascii="Arial" w:hAnsi="Arial"/>
        </w:rPr>
        <w:t>n</w:t>
      </w:r>
      <w:r>
        <w:rPr>
          <w:rFonts w:ascii="Arial" w:hAnsi="Arial"/>
        </w:rPr>
        <w:t xml:space="preserve"> boundary of Oil and Gas Lease </w:t>
      </w:r>
      <w:r w:rsidR="001C4D0D">
        <w:rPr>
          <w:rFonts w:ascii="Arial" w:hAnsi="Arial"/>
        </w:rPr>
        <w:t xml:space="preserve">No. </w:t>
      </w:r>
      <w:r>
        <w:rPr>
          <w:rFonts w:ascii="Arial" w:hAnsi="Arial"/>
        </w:rPr>
        <w:t>PRC 3150</w:t>
      </w:r>
      <w:r w:rsidR="001C4D0D">
        <w:rPr>
          <w:rFonts w:ascii="Arial" w:hAnsi="Arial"/>
        </w:rPr>
        <w:t>.1</w:t>
      </w:r>
      <w:r>
        <w:rPr>
          <w:rFonts w:ascii="Arial" w:hAnsi="Arial"/>
        </w:rPr>
        <w:t xml:space="preserve"> and the</w:t>
      </w:r>
      <w:r w:rsidR="007F58F7">
        <w:rPr>
          <w:rFonts w:ascii="Arial" w:hAnsi="Arial"/>
        </w:rPr>
        <w:t xml:space="preserve"> offshore</w:t>
      </w:r>
      <w:r>
        <w:rPr>
          <w:rFonts w:ascii="Arial" w:hAnsi="Arial"/>
        </w:rPr>
        <w:t xml:space="preserve"> 3-mile </w:t>
      </w:r>
      <w:r w:rsidR="00CE78EC">
        <w:rPr>
          <w:rFonts w:ascii="Arial" w:hAnsi="Arial"/>
        </w:rPr>
        <w:t>federal/state boundary</w:t>
      </w:r>
      <w:r>
        <w:rPr>
          <w:rFonts w:ascii="Arial" w:hAnsi="Arial"/>
        </w:rPr>
        <w:t xml:space="preserve">, was issued to Standard Oil Company of California (later Chevron) and Atlantic Richfield Company (later ARCO) in August 1968.  The </w:t>
      </w:r>
      <w:r w:rsidR="00CE78EC">
        <w:rPr>
          <w:rFonts w:ascii="Arial" w:hAnsi="Arial"/>
        </w:rPr>
        <w:t xml:space="preserve">Commission </w:t>
      </w:r>
      <w:r w:rsidR="007F58F7">
        <w:rPr>
          <w:rFonts w:ascii="Arial" w:hAnsi="Arial"/>
        </w:rPr>
        <w:t xml:space="preserve">also </w:t>
      </w:r>
      <w:r w:rsidR="00CE78EC">
        <w:rPr>
          <w:rFonts w:ascii="Arial" w:hAnsi="Arial"/>
        </w:rPr>
        <w:t xml:space="preserve">approved the assignment of </w:t>
      </w:r>
      <w:r w:rsidR="007F58F7">
        <w:rPr>
          <w:rFonts w:ascii="Arial" w:hAnsi="Arial"/>
        </w:rPr>
        <w:t>L</w:t>
      </w:r>
      <w:r>
        <w:rPr>
          <w:rFonts w:ascii="Arial" w:hAnsi="Arial"/>
        </w:rPr>
        <w:t>ease</w:t>
      </w:r>
      <w:r w:rsidR="007F58F7">
        <w:rPr>
          <w:rFonts w:ascii="Arial" w:hAnsi="Arial"/>
        </w:rPr>
        <w:t xml:space="preserve"> </w:t>
      </w:r>
      <w:r w:rsidR="001C4D0D">
        <w:rPr>
          <w:rFonts w:ascii="Arial" w:hAnsi="Arial"/>
        </w:rPr>
        <w:t xml:space="preserve">No. </w:t>
      </w:r>
      <w:r w:rsidR="007F58F7">
        <w:rPr>
          <w:rFonts w:ascii="Arial" w:hAnsi="Arial"/>
        </w:rPr>
        <w:t>PRC 4000</w:t>
      </w:r>
      <w:r w:rsidR="001C4D0D">
        <w:rPr>
          <w:rFonts w:ascii="Arial" w:hAnsi="Arial"/>
        </w:rPr>
        <w:t>.1</w:t>
      </w:r>
      <w:r>
        <w:rPr>
          <w:rFonts w:ascii="Arial" w:hAnsi="Arial"/>
        </w:rPr>
        <w:t>, in its entirety</w:t>
      </w:r>
      <w:r w:rsidR="00CE78EC">
        <w:rPr>
          <w:rFonts w:ascii="Arial" w:hAnsi="Arial"/>
        </w:rPr>
        <w:t>, to Carone</w:t>
      </w:r>
      <w:r>
        <w:rPr>
          <w:rFonts w:ascii="Arial" w:hAnsi="Arial"/>
        </w:rPr>
        <w:t xml:space="preserve"> </w:t>
      </w:r>
      <w:r w:rsidR="007F58F7">
        <w:rPr>
          <w:rFonts w:ascii="Arial" w:hAnsi="Arial"/>
        </w:rPr>
        <w:t>at the same October 28, 1996 meeting when</w:t>
      </w:r>
      <w:r w:rsidR="00CE78EC">
        <w:rPr>
          <w:rFonts w:ascii="Arial" w:hAnsi="Arial"/>
        </w:rPr>
        <w:t xml:space="preserve"> it created </w:t>
      </w:r>
      <w:r>
        <w:rPr>
          <w:rFonts w:ascii="Arial" w:hAnsi="Arial"/>
        </w:rPr>
        <w:t xml:space="preserve">Oil and Gas Lease </w:t>
      </w:r>
      <w:r w:rsidR="001C4D0D">
        <w:rPr>
          <w:rFonts w:ascii="Arial" w:hAnsi="Arial"/>
        </w:rPr>
        <w:t xml:space="preserve">No. </w:t>
      </w:r>
      <w:r>
        <w:rPr>
          <w:rFonts w:ascii="Arial" w:hAnsi="Arial"/>
        </w:rPr>
        <w:t>PRC 7911</w:t>
      </w:r>
      <w:r w:rsidR="001C4D0D">
        <w:rPr>
          <w:rFonts w:ascii="Arial" w:hAnsi="Arial"/>
        </w:rPr>
        <w:t>.1</w:t>
      </w:r>
      <w:r w:rsidR="00CE78EC">
        <w:rPr>
          <w:rFonts w:ascii="Arial" w:hAnsi="Arial"/>
        </w:rPr>
        <w:t xml:space="preserve"> from</w:t>
      </w:r>
      <w:r w:rsidR="007F58F7">
        <w:rPr>
          <w:rFonts w:ascii="Arial" w:hAnsi="Arial"/>
        </w:rPr>
        <w:t xml:space="preserve"> the southern portion of</w:t>
      </w:r>
      <w:r w:rsidR="00CE78EC">
        <w:rPr>
          <w:rFonts w:ascii="Arial" w:hAnsi="Arial"/>
        </w:rPr>
        <w:t xml:space="preserve"> Oil and Gas Lease </w:t>
      </w:r>
      <w:r w:rsidR="001C4D0D">
        <w:rPr>
          <w:rFonts w:ascii="Arial" w:hAnsi="Arial"/>
        </w:rPr>
        <w:t xml:space="preserve">No. </w:t>
      </w:r>
      <w:r w:rsidR="00CE78EC">
        <w:rPr>
          <w:rFonts w:ascii="Arial" w:hAnsi="Arial"/>
        </w:rPr>
        <w:t>PRC 3150</w:t>
      </w:r>
      <w:r w:rsidR="001C4D0D">
        <w:rPr>
          <w:rFonts w:ascii="Arial" w:hAnsi="Arial"/>
        </w:rPr>
        <w:t>.1</w:t>
      </w:r>
      <w:r w:rsidR="00CE78EC">
        <w:rPr>
          <w:rFonts w:ascii="Arial" w:hAnsi="Arial"/>
        </w:rPr>
        <w:t xml:space="preserve"> and approved </w:t>
      </w:r>
      <w:r w:rsidR="002D6839">
        <w:rPr>
          <w:rFonts w:ascii="Arial" w:hAnsi="Arial"/>
        </w:rPr>
        <w:t xml:space="preserve">its </w:t>
      </w:r>
      <w:r w:rsidR="00CE78EC">
        <w:rPr>
          <w:rFonts w:ascii="Arial" w:hAnsi="Arial"/>
        </w:rPr>
        <w:t>assignment to Carone</w:t>
      </w:r>
      <w:r>
        <w:rPr>
          <w:rFonts w:ascii="Arial" w:hAnsi="Arial"/>
        </w:rPr>
        <w:t>.</w:t>
      </w:r>
    </w:p>
    <w:p w:rsidR="000116B1" w:rsidRDefault="000116B1" w:rsidP="000C2AC0">
      <w:pPr>
        <w:tabs>
          <w:tab w:val="left" w:pos="-1440"/>
          <w:tab w:val="left" w:pos="-720"/>
          <w:tab w:val="left" w:pos="720"/>
          <w:tab w:val="left" w:pos="1320"/>
          <w:tab w:val="left" w:pos="4680"/>
          <w:tab w:val="left" w:pos="7560"/>
        </w:tabs>
        <w:ind w:left="720"/>
        <w:rPr>
          <w:rFonts w:ascii="Arial" w:hAnsi="Arial"/>
        </w:rPr>
      </w:pPr>
    </w:p>
    <w:p w:rsidR="000116B1" w:rsidRDefault="003A0F2F" w:rsidP="000C2AC0">
      <w:pPr>
        <w:tabs>
          <w:tab w:val="left" w:pos="-1440"/>
          <w:tab w:val="left" w:pos="-720"/>
          <w:tab w:val="left" w:pos="720"/>
          <w:tab w:val="left" w:pos="1320"/>
          <w:tab w:val="left" w:pos="4680"/>
          <w:tab w:val="left" w:pos="7560"/>
        </w:tabs>
        <w:ind w:left="720"/>
        <w:rPr>
          <w:rFonts w:ascii="Arial" w:hAnsi="Arial"/>
        </w:rPr>
      </w:pPr>
      <w:r>
        <w:rPr>
          <w:rFonts w:ascii="Arial" w:hAnsi="Arial"/>
        </w:rPr>
        <w:t>In addition to lease requirements obligating C</w:t>
      </w:r>
      <w:r w:rsidR="00B632A6">
        <w:rPr>
          <w:rFonts w:ascii="Arial" w:hAnsi="Arial"/>
        </w:rPr>
        <w:t>a</w:t>
      </w:r>
      <w:r>
        <w:rPr>
          <w:rFonts w:ascii="Arial" w:hAnsi="Arial"/>
        </w:rPr>
        <w:t xml:space="preserve">rone to exercise reasonable diligence in the development of these </w:t>
      </w:r>
      <w:proofErr w:type="gramStart"/>
      <w:r>
        <w:rPr>
          <w:rFonts w:ascii="Arial" w:hAnsi="Arial"/>
        </w:rPr>
        <w:t>leases,</w:t>
      </w:r>
      <w:proofErr w:type="gramEnd"/>
      <w:r>
        <w:rPr>
          <w:rFonts w:ascii="Arial" w:hAnsi="Arial"/>
        </w:rPr>
        <w:t xml:space="preserve"> t</w:t>
      </w:r>
      <w:r w:rsidR="000116B1">
        <w:rPr>
          <w:rFonts w:ascii="Arial" w:hAnsi="Arial"/>
        </w:rPr>
        <w:t>he assignment of Oil and Gas Lease</w:t>
      </w:r>
      <w:r w:rsidR="001C4D0D">
        <w:rPr>
          <w:rFonts w:ascii="Arial" w:hAnsi="Arial"/>
        </w:rPr>
        <w:t xml:space="preserve"> No</w:t>
      </w:r>
      <w:r w:rsidR="000116B1">
        <w:rPr>
          <w:rFonts w:ascii="Arial" w:hAnsi="Arial"/>
        </w:rPr>
        <w:t>s</w:t>
      </w:r>
      <w:r w:rsidR="001C4D0D">
        <w:rPr>
          <w:rFonts w:ascii="Arial" w:hAnsi="Arial"/>
        </w:rPr>
        <w:t>.</w:t>
      </w:r>
      <w:r w:rsidR="000116B1">
        <w:rPr>
          <w:rFonts w:ascii="Arial" w:hAnsi="Arial"/>
        </w:rPr>
        <w:t xml:space="preserve"> PRC </w:t>
      </w:r>
      <w:r w:rsidR="009763A7">
        <w:rPr>
          <w:rFonts w:ascii="Arial" w:hAnsi="Arial"/>
        </w:rPr>
        <w:t>4000</w:t>
      </w:r>
      <w:r w:rsidR="001C4D0D">
        <w:rPr>
          <w:rFonts w:ascii="Arial" w:hAnsi="Arial"/>
        </w:rPr>
        <w:t>.1</w:t>
      </w:r>
      <w:r w:rsidR="000116B1">
        <w:rPr>
          <w:rFonts w:ascii="Arial" w:hAnsi="Arial"/>
        </w:rPr>
        <w:t xml:space="preserve"> and PRC </w:t>
      </w:r>
      <w:r w:rsidR="009763A7">
        <w:rPr>
          <w:rFonts w:ascii="Arial" w:hAnsi="Arial"/>
        </w:rPr>
        <w:t>7911</w:t>
      </w:r>
      <w:r w:rsidR="001C4D0D">
        <w:rPr>
          <w:rFonts w:ascii="Arial" w:hAnsi="Arial"/>
        </w:rPr>
        <w:t>.1</w:t>
      </w:r>
      <w:r w:rsidR="000116B1">
        <w:rPr>
          <w:rFonts w:ascii="Arial" w:hAnsi="Arial"/>
        </w:rPr>
        <w:t xml:space="preserve"> </w:t>
      </w:r>
      <w:proofErr w:type="gramStart"/>
      <w:r w:rsidR="006175A9">
        <w:rPr>
          <w:rFonts w:ascii="Arial" w:hAnsi="Arial"/>
        </w:rPr>
        <w:t>was</w:t>
      </w:r>
      <w:proofErr w:type="gramEnd"/>
      <w:r w:rsidR="006175A9">
        <w:rPr>
          <w:rFonts w:ascii="Arial" w:hAnsi="Arial"/>
        </w:rPr>
        <w:t xml:space="preserve"> </w:t>
      </w:r>
      <w:r w:rsidR="00CE78EC">
        <w:rPr>
          <w:rFonts w:ascii="Arial" w:hAnsi="Arial"/>
        </w:rPr>
        <w:t>subject to an</w:t>
      </w:r>
      <w:r w:rsidR="006175A9">
        <w:rPr>
          <w:rFonts w:ascii="Arial" w:hAnsi="Arial"/>
        </w:rPr>
        <w:t xml:space="preserve"> agreement</w:t>
      </w:r>
      <w:r w:rsidR="00495990">
        <w:rPr>
          <w:rFonts w:ascii="Arial" w:hAnsi="Arial"/>
        </w:rPr>
        <w:t xml:space="preserve"> </w:t>
      </w:r>
      <w:r w:rsidR="000116B1">
        <w:rPr>
          <w:rFonts w:ascii="Arial" w:hAnsi="Arial"/>
        </w:rPr>
        <w:t>b</w:t>
      </w:r>
      <w:r w:rsidR="00495990">
        <w:rPr>
          <w:rFonts w:ascii="Arial" w:hAnsi="Arial"/>
        </w:rPr>
        <w:t>etween C</w:t>
      </w:r>
      <w:r w:rsidR="006175A9">
        <w:rPr>
          <w:rFonts w:ascii="Arial" w:hAnsi="Arial"/>
        </w:rPr>
        <w:t>arone</w:t>
      </w:r>
      <w:r w:rsidR="00495990">
        <w:rPr>
          <w:rFonts w:ascii="Arial" w:hAnsi="Arial"/>
        </w:rPr>
        <w:t xml:space="preserve"> and the State</w:t>
      </w:r>
      <w:r w:rsidR="00CE78EC">
        <w:rPr>
          <w:rFonts w:ascii="Arial" w:hAnsi="Arial"/>
        </w:rPr>
        <w:t xml:space="preserve"> imposing various conditions upon the Commission’s approval of the assignment</w:t>
      </w:r>
      <w:r w:rsidR="006175A9">
        <w:rPr>
          <w:rFonts w:ascii="Arial" w:hAnsi="Arial"/>
        </w:rPr>
        <w:t xml:space="preserve">.   Among those conditions is </w:t>
      </w:r>
      <w:r w:rsidR="006A0B90">
        <w:rPr>
          <w:rFonts w:ascii="Arial" w:hAnsi="Arial"/>
        </w:rPr>
        <w:t>one that</w:t>
      </w:r>
      <w:r w:rsidR="006175A9">
        <w:rPr>
          <w:rFonts w:ascii="Arial" w:hAnsi="Arial"/>
        </w:rPr>
        <w:t xml:space="preserve"> require</w:t>
      </w:r>
      <w:r w:rsidR="006A0B90">
        <w:rPr>
          <w:rFonts w:ascii="Arial" w:hAnsi="Arial"/>
        </w:rPr>
        <w:t>d</w:t>
      </w:r>
      <w:r w:rsidR="006175A9">
        <w:rPr>
          <w:rFonts w:ascii="Arial" w:hAnsi="Arial"/>
        </w:rPr>
        <w:t xml:space="preserve"> that Carone</w:t>
      </w:r>
      <w:r w:rsidR="000116B1">
        <w:rPr>
          <w:rFonts w:ascii="Arial" w:hAnsi="Arial"/>
        </w:rPr>
        <w:t xml:space="preserve"> “submit to the Commission within two years of the effective date of the assignments</w:t>
      </w:r>
      <w:r w:rsidR="00495990">
        <w:rPr>
          <w:rFonts w:ascii="Arial" w:hAnsi="Arial"/>
        </w:rPr>
        <w:t xml:space="preserve"> </w:t>
      </w:r>
      <w:r w:rsidR="006175A9">
        <w:rPr>
          <w:rFonts w:ascii="Arial" w:hAnsi="Arial"/>
        </w:rPr>
        <w:t>of the leases [</w:t>
      </w:r>
      <w:r w:rsidR="00495990">
        <w:rPr>
          <w:rFonts w:ascii="Arial" w:hAnsi="Arial"/>
        </w:rPr>
        <w:t>by November 1, 1998</w:t>
      </w:r>
      <w:r w:rsidR="006175A9">
        <w:rPr>
          <w:rFonts w:ascii="Arial" w:hAnsi="Arial"/>
        </w:rPr>
        <w:t>]</w:t>
      </w:r>
      <w:r w:rsidR="000116B1">
        <w:rPr>
          <w:rFonts w:ascii="Arial" w:hAnsi="Arial"/>
        </w:rPr>
        <w:t xml:space="preserve"> a plan for the development of both leases” and “begin drilling operations on both leases within three years of the effective date of the </w:t>
      </w:r>
      <w:r w:rsidR="007F58F7">
        <w:rPr>
          <w:rFonts w:ascii="Arial" w:hAnsi="Arial"/>
        </w:rPr>
        <w:t xml:space="preserve">assignments </w:t>
      </w:r>
      <w:r w:rsidR="000116B1">
        <w:rPr>
          <w:rFonts w:ascii="Arial" w:hAnsi="Arial"/>
        </w:rPr>
        <w:t>of the leases</w:t>
      </w:r>
      <w:r w:rsidR="00495990" w:rsidRPr="00495990">
        <w:rPr>
          <w:rFonts w:ascii="Arial" w:hAnsi="Arial"/>
        </w:rPr>
        <w:t xml:space="preserve"> </w:t>
      </w:r>
      <w:r w:rsidR="006175A9">
        <w:rPr>
          <w:rFonts w:ascii="Arial" w:hAnsi="Arial"/>
        </w:rPr>
        <w:t>[</w:t>
      </w:r>
      <w:r w:rsidR="00495990">
        <w:rPr>
          <w:rFonts w:ascii="Arial" w:hAnsi="Arial"/>
        </w:rPr>
        <w:t>by November 1, 1999</w:t>
      </w:r>
      <w:r w:rsidR="006175A9">
        <w:rPr>
          <w:rFonts w:ascii="Arial" w:hAnsi="Arial"/>
        </w:rPr>
        <w:t>]</w:t>
      </w:r>
      <w:r w:rsidR="000116B1">
        <w:rPr>
          <w:rFonts w:ascii="Arial" w:hAnsi="Arial"/>
        </w:rPr>
        <w:t>.”</w:t>
      </w:r>
    </w:p>
    <w:p w:rsidR="00D90207" w:rsidRDefault="00D90207" w:rsidP="000C2AC0">
      <w:pPr>
        <w:tabs>
          <w:tab w:val="left" w:pos="-1440"/>
          <w:tab w:val="left" w:pos="-720"/>
          <w:tab w:val="left" w:pos="720"/>
          <w:tab w:val="left" w:pos="1320"/>
          <w:tab w:val="left" w:pos="4680"/>
          <w:tab w:val="left" w:pos="7560"/>
        </w:tabs>
        <w:ind w:left="720"/>
        <w:rPr>
          <w:rFonts w:ascii="Arial" w:hAnsi="Arial"/>
        </w:rPr>
      </w:pPr>
    </w:p>
    <w:p w:rsidR="00D90207" w:rsidRDefault="00D90207" w:rsidP="000C2AC0">
      <w:pPr>
        <w:tabs>
          <w:tab w:val="left" w:pos="-1440"/>
          <w:tab w:val="left" w:pos="-720"/>
          <w:tab w:val="left" w:pos="720"/>
          <w:tab w:val="left" w:pos="1320"/>
          <w:tab w:val="left" w:pos="4680"/>
          <w:tab w:val="left" w:pos="7560"/>
        </w:tabs>
        <w:ind w:left="720"/>
        <w:rPr>
          <w:rFonts w:ascii="Arial" w:hAnsi="Arial"/>
        </w:rPr>
      </w:pPr>
      <w:r w:rsidRPr="00D90207">
        <w:rPr>
          <w:rFonts w:ascii="Arial" w:hAnsi="Arial"/>
        </w:rPr>
        <w:t xml:space="preserve">After </w:t>
      </w:r>
      <w:r w:rsidR="0062743E">
        <w:rPr>
          <w:rFonts w:ascii="Arial" w:hAnsi="Arial"/>
        </w:rPr>
        <w:t>several</w:t>
      </w:r>
      <w:r w:rsidRPr="00D90207">
        <w:rPr>
          <w:rFonts w:ascii="Arial" w:hAnsi="Arial"/>
        </w:rPr>
        <w:t xml:space="preserve"> extensions </w:t>
      </w:r>
      <w:r w:rsidR="0062743E">
        <w:rPr>
          <w:rFonts w:ascii="Arial" w:hAnsi="Arial"/>
        </w:rPr>
        <w:t>of these deadlines</w:t>
      </w:r>
      <w:r w:rsidRPr="00D90207">
        <w:rPr>
          <w:rFonts w:ascii="Arial" w:hAnsi="Arial"/>
        </w:rPr>
        <w:t xml:space="preserve">, Carone submitted </w:t>
      </w:r>
      <w:r w:rsidR="0062743E">
        <w:rPr>
          <w:rFonts w:ascii="Arial" w:hAnsi="Arial"/>
        </w:rPr>
        <w:t xml:space="preserve">to staff </w:t>
      </w:r>
      <w:r w:rsidRPr="00D90207">
        <w:rPr>
          <w:rFonts w:ascii="Arial" w:hAnsi="Arial"/>
        </w:rPr>
        <w:t xml:space="preserve">a development </w:t>
      </w:r>
      <w:r w:rsidR="0062743E">
        <w:rPr>
          <w:rFonts w:ascii="Arial" w:hAnsi="Arial"/>
        </w:rPr>
        <w:t xml:space="preserve">plan </w:t>
      </w:r>
      <w:r w:rsidRPr="00D90207">
        <w:rPr>
          <w:rFonts w:ascii="Arial" w:hAnsi="Arial"/>
        </w:rPr>
        <w:t>application on October 25, 1999.  On November 23, 1999, staff responded with a letter</w:t>
      </w:r>
      <w:r w:rsidR="0062743E">
        <w:rPr>
          <w:rFonts w:ascii="Arial" w:hAnsi="Arial"/>
        </w:rPr>
        <w:t xml:space="preserve"> finding the application incomplete</w:t>
      </w:r>
      <w:r w:rsidRPr="00D90207">
        <w:rPr>
          <w:rFonts w:ascii="Arial" w:hAnsi="Arial"/>
        </w:rPr>
        <w:t xml:space="preserve">.  Upon continued </w:t>
      </w:r>
      <w:r w:rsidR="0062743E">
        <w:rPr>
          <w:rFonts w:ascii="Arial" w:hAnsi="Arial"/>
        </w:rPr>
        <w:t xml:space="preserve">urging by </w:t>
      </w:r>
      <w:r w:rsidRPr="00D90207">
        <w:rPr>
          <w:rFonts w:ascii="Arial" w:hAnsi="Arial"/>
        </w:rPr>
        <w:t xml:space="preserve">staff </w:t>
      </w:r>
      <w:r w:rsidR="0062743E">
        <w:rPr>
          <w:rFonts w:ascii="Arial" w:hAnsi="Arial"/>
        </w:rPr>
        <w:t xml:space="preserve">to provide the materials needed to complete the application, </w:t>
      </w:r>
      <w:r w:rsidRPr="00D90207">
        <w:rPr>
          <w:rFonts w:ascii="Arial" w:hAnsi="Arial"/>
        </w:rPr>
        <w:t xml:space="preserve">Carone </w:t>
      </w:r>
      <w:r w:rsidR="0062743E">
        <w:rPr>
          <w:rFonts w:ascii="Arial" w:hAnsi="Arial"/>
        </w:rPr>
        <w:t xml:space="preserve">provided some but not all of the </w:t>
      </w:r>
      <w:r w:rsidR="008151BC">
        <w:rPr>
          <w:rFonts w:ascii="Arial" w:hAnsi="Arial"/>
        </w:rPr>
        <w:t>requested</w:t>
      </w:r>
      <w:r w:rsidR="0062743E">
        <w:rPr>
          <w:rFonts w:ascii="Arial" w:hAnsi="Arial"/>
        </w:rPr>
        <w:t xml:space="preserve"> materials</w:t>
      </w:r>
      <w:r w:rsidRPr="00D90207">
        <w:rPr>
          <w:rFonts w:ascii="Arial" w:hAnsi="Arial"/>
        </w:rPr>
        <w:t xml:space="preserve"> on or about October 23, 2</w:t>
      </w:r>
      <w:r>
        <w:rPr>
          <w:rFonts w:ascii="Arial" w:hAnsi="Arial"/>
        </w:rPr>
        <w:t>000</w:t>
      </w:r>
      <w:r w:rsidRPr="00D90207">
        <w:rPr>
          <w:rFonts w:ascii="Arial" w:hAnsi="Arial"/>
        </w:rPr>
        <w:t xml:space="preserve">.  That response was supplemented with more materials on October 24, November 3, and November 21, 2000.  On December 11, 2000, staff responded with a second incomplete letter </w:t>
      </w:r>
      <w:r w:rsidR="00CD76A1">
        <w:rPr>
          <w:rFonts w:ascii="Arial" w:hAnsi="Arial"/>
        </w:rPr>
        <w:t>stating th</w:t>
      </w:r>
      <w:r w:rsidR="0025774B">
        <w:rPr>
          <w:rFonts w:ascii="Arial" w:hAnsi="Arial"/>
        </w:rPr>
        <w:t>at</w:t>
      </w:r>
      <w:r w:rsidR="00CD76A1">
        <w:rPr>
          <w:rFonts w:ascii="Arial" w:hAnsi="Arial"/>
        </w:rPr>
        <w:t xml:space="preserve"> Carone had still failed to provide a complete application</w:t>
      </w:r>
      <w:r w:rsidRPr="00D90207">
        <w:rPr>
          <w:rFonts w:ascii="Arial" w:hAnsi="Arial"/>
        </w:rPr>
        <w:t xml:space="preserve">.  Carone </w:t>
      </w:r>
      <w:r w:rsidR="00CD76A1">
        <w:rPr>
          <w:rFonts w:ascii="Arial" w:hAnsi="Arial"/>
        </w:rPr>
        <w:t>finally provided all materials required to</w:t>
      </w:r>
      <w:r w:rsidR="008151BC">
        <w:rPr>
          <w:rFonts w:ascii="Arial" w:hAnsi="Arial"/>
        </w:rPr>
        <w:t xml:space="preserve"> make</w:t>
      </w:r>
      <w:r w:rsidR="00CD76A1">
        <w:rPr>
          <w:rFonts w:ascii="Arial" w:hAnsi="Arial"/>
        </w:rPr>
        <w:t xml:space="preserve"> the application complete</w:t>
      </w:r>
      <w:r w:rsidRPr="00D90207">
        <w:rPr>
          <w:rFonts w:ascii="Arial" w:hAnsi="Arial"/>
        </w:rPr>
        <w:t xml:space="preserve"> on or about January 14, 2001.  </w:t>
      </w:r>
    </w:p>
    <w:p w:rsidR="00B87206" w:rsidRPr="00D90207" w:rsidRDefault="00B87206" w:rsidP="000C2AC0">
      <w:pPr>
        <w:tabs>
          <w:tab w:val="left" w:pos="-1440"/>
          <w:tab w:val="left" w:pos="-720"/>
          <w:tab w:val="left" w:pos="720"/>
          <w:tab w:val="left" w:pos="1320"/>
          <w:tab w:val="left" w:pos="4680"/>
          <w:tab w:val="left" w:pos="7560"/>
        </w:tabs>
        <w:ind w:left="720"/>
        <w:rPr>
          <w:rFonts w:ascii="Arial" w:hAnsi="Arial"/>
        </w:rPr>
      </w:pPr>
    </w:p>
    <w:p w:rsidR="00B87206" w:rsidRPr="00D90207" w:rsidRDefault="00B87206" w:rsidP="000C2AC0">
      <w:pPr>
        <w:tabs>
          <w:tab w:val="left" w:pos="-1440"/>
          <w:tab w:val="left" w:pos="-720"/>
          <w:tab w:val="left" w:pos="720"/>
          <w:tab w:val="left" w:pos="1320"/>
          <w:tab w:val="left" w:pos="4680"/>
          <w:tab w:val="left" w:pos="7560"/>
        </w:tabs>
        <w:ind w:left="720"/>
        <w:rPr>
          <w:rFonts w:ascii="Arial" w:hAnsi="Arial"/>
          <w:b/>
        </w:rPr>
      </w:pPr>
      <w:r w:rsidRPr="00D90207">
        <w:rPr>
          <w:rFonts w:ascii="Arial" w:hAnsi="Arial"/>
          <w:b/>
        </w:rPr>
        <w:t>The EIR Process</w:t>
      </w:r>
    </w:p>
    <w:p w:rsidR="009144C9" w:rsidRDefault="009144C9" w:rsidP="009144C9">
      <w:pPr>
        <w:tabs>
          <w:tab w:val="left" w:pos="-1440"/>
          <w:tab w:val="left" w:pos="-720"/>
          <w:tab w:val="left" w:pos="720"/>
          <w:tab w:val="left" w:pos="1320"/>
          <w:tab w:val="left" w:pos="4680"/>
          <w:tab w:val="left" w:pos="7560"/>
        </w:tabs>
        <w:ind w:left="720"/>
        <w:rPr>
          <w:rFonts w:ascii="Arial" w:hAnsi="Arial"/>
        </w:rPr>
      </w:pPr>
      <w:r>
        <w:rPr>
          <w:rFonts w:ascii="Arial" w:hAnsi="Arial"/>
        </w:rPr>
        <w:t xml:space="preserve">Under the California Environmental Quality Act (CEQA, see Public Resources Code sections 2100 et seq.), the Commission cannot approve the development plan proposed in Carone’s application until all the necessary environmental </w:t>
      </w:r>
      <w:r>
        <w:rPr>
          <w:rFonts w:ascii="Arial" w:hAnsi="Arial"/>
        </w:rPr>
        <w:lastRenderedPageBreak/>
        <w:t xml:space="preserve">documents have been prepared.  As such, completion of the CEQA process is a necessary precondition that Carone must satisfy prior to any operations occurring that would restore production of oil or gas to the leased lands and under the lease terms, Carone must exercise reasonable diligence in completing the CEQA process in order to avoid termination of the lease (Lease Paragraph 1. “… Lessee shall commence and thereafter prosecute with reasonable diligence … other operations which shall result in the restoration of production of oil and gas from leased lands.”).  The Commission is the lead agency under CEQA and is the primary agency responsible for ensuring the proper completion of the CEQA process. </w:t>
      </w:r>
    </w:p>
    <w:p w:rsidR="009144C9" w:rsidRDefault="009144C9" w:rsidP="000C2AC0">
      <w:pPr>
        <w:tabs>
          <w:tab w:val="left" w:pos="-1440"/>
          <w:tab w:val="left" w:pos="-720"/>
          <w:tab w:val="left" w:pos="720"/>
          <w:tab w:val="left" w:pos="1320"/>
          <w:tab w:val="left" w:pos="4680"/>
          <w:tab w:val="left" w:pos="7560"/>
        </w:tabs>
        <w:ind w:left="720"/>
        <w:rPr>
          <w:rFonts w:ascii="Arial" w:hAnsi="Arial"/>
        </w:rPr>
      </w:pPr>
    </w:p>
    <w:p w:rsidR="004A3E46" w:rsidRDefault="00D90207" w:rsidP="000C2AC0">
      <w:pPr>
        <w:tabs>
          <w:tab w:val="left" w:pos="-1440"/>
          <w:tab w:val="left" w:pos="-720"/>
          <w:tab w:val="left" w:pos="720"/>
          <w:tab w:val="left" w:pos="1320"/>
          <w:tab w:val="left" w:pos="4680"/>
          <w:tab w:val="left" w:pos="7560"/>
        </w:tabs>
        <w:ind w:left="720"/>
        <w:rPr>
          <w:rFonts w:ascii="Arial" w:hAnsi="Arial"/>
        </w:rPr>
      </w:pPr>
      <w:r w:rsidRPr="00D90207">
        <w:rPr>
          <w:rFonts w:ascii="Arial" w:hAnsi="Arial"/>
        </w:rPr>
        <w:t xml:space="preserve">Staff deemed the application </w:t>
      </w:r>
      <w:r w:rsidR="00B632A6">
        <w:rPr>
          <w:rFonts w:ascii="Arial" w:hAnsi="Arial"/>
        </w:rPr>
        <w:t xml:space="preserve">for the proposed development plan </w:t>
      </w:r>
      <w:r w:rsidRPr="00D90207">
        <w:rPr>
          <w:rFonts w:ascii="Arial" w:hAnsi="Arial"/>
        </w:rPr>
        <w:t>complete on February 28, 2001</w:t>
      </w:r>
      <w:r w:rsidR="00D60C9F">
        <w:rPr>
          <w:rFonts w:ascii="Arial" w:hAnsi="Arial"/>
        </w:rPr>
        <w:t>,</w:t>
      </w:r>
      <w:r w:rsidRPr="00D90207">
        <w:rPr>
          <w:rFonts w:ascii="Arial" w:hAnsi="Arial"/>
        </w:rPr>
        <w:t xml:space="preserve"> pending </w:t>
      </w:r>
      <w:r w:rsidR="00D60C9F">
        <w:rPr>
          <w:rFonts w:ascii="Arial" w:hAnsi="Arial"/>
        </w:rPr>
        <w:t xml:space="preserve">the receipt from Carone of </w:t>
      </w:r>
      <w:r w:rsidRPr="00D90207">
        <w:rPr>
          <w:rFonts w:ascii="Arial" w:hAnsi="Arial"/>
        </w:rPr>
        <w:t>a signed reimbursement agreement</w:t>
      </w:r>
      <w:r w:rsidR="00D60C9F">
        <w:rPr>
          <w:rFonts w:ascii="Arial" w:hAnsi="Arial"/>
        </w:rPr>
        <w:t xml:space="preserve"> covering the costs of preparing the EIR for the development project</w:t>
      </w:r>
      <w:r w:rsidR="008151BC">
        <w:rPr>
          <w:rFonts w:ascii="Arial" w:hAnsi="Arial"/>
        </w:rPr>
        <w:t xml:space="preserve"> as required by statute</w:t>
      </w:r>
      <w:r w:rsidR="00685872">
        <w:rPr>
          <w:rFonts w:ascii="Arial" w:hAnsi="Arial"/>
        </w:rPr>
        <w:t xml:space="preserve"> (</w:t>
      </w:r>
      <w:r w:rsidR="00B632A6">
        <w:rPr>
          <w:rFonts w:ascii="Arial" w:hAnsi="Arial"/>
        </w:rPr>
        <w:t>PRC</w:t>
      </w:r>
      <w:r w:rsidR="00FC6B99">
        <w:rPr>
          <w:rFonts w:ascii="Arial" w:hAnsi="Arial"/>
        </w:rPr>
        <w:t xml:space="preserve"> </w:t>
      </w:r>
      <w:r w:rsidR="00B632A6">
        <w:rPr>
          <w:rFonts w:ascii="Arial" w:hAnsi="Arial" w:cs="Arial"/>
        </w:rPr>
        <w:t>§</w:t>
      </w:r>
      <w:r w:rsidR="00B632A6">
        <w:rPr>
          <w:rFonts w:ascii="Arial" w:hAnsi="Arial"/>
        </w:rPr>
        <w:t xml:space="preserve"> </w:t>
      </w:r>
      <w:r w:rsidR="00685872">
        <w:rPr>
          <w:rFonts w:ascii="Arial" w:hAnsi="Arial"/>
        </w:rPr>
        <w:t>21089)</w:t>
      </w:r>
      <w:r w:rsidRPr="00D90207">
        <w:rPr>
          <w:rFonts w:ascii="Arial" w:hAnsi="Arial"/>
        </w:rPr>
        <w:t xml:space="preserve">.  The notice of preparation (NOP) for the EIR </w:t>
      </w:r>
      <w:r w:rsidR="00D60C9F">
        <w:rPr>
          <w:rFonts w:ascii="Arial" w:hAnsi="Arial"/>
        </w:rPr>
        <w:t>was issued</w:t>
      </w:r>
      <w:r w:rsidRPr="00D90207">
        <w:rPr>
          <w:rFonts w:ascii="Arial" w:hAnsi="Arial"/>
        </w:rPr>
        <w:t xml:space="preserve"> on June 6, 2001.  The scoping meeting, bid review, and interviews of the prospective consultants occurred between </w:t>
      </w:r>
      <w:r w:rsidR="00D60C9F">
        <w:rPr>
          <w:rFonts w:ascii="Arial" w:hAnsi="Arial"/>
        </w:rPr>
        <w:t>June 6</w:t>
      </w:r>
      <w:r w:rsidRPr="00D90207">
        <w:rPr>
          <w:rFonts w:ascii="Arial" w:hAnsi="Arial"/>
        </w:rPr>
        <w:t xml:space="preserve"> and July 31, 2001.  </w:t>
      </w:r>
      <w:r w:rsidR="00D60C9F">
        <w:rPr>
          <w:rFonts w:ascii="Arial" w:hAnsi="Arial"/>
        </w:rPr>
        <w:t>After t</w:t>
      </w:r>
      <w:r w:rsidRPr="00D90207">
        <w:rPr>
          <w:rFonts w:ascii="Arial" w:hAnsi="Arial"/>
        </w:rPr>
        <w:t>he consultant was selected</w:t>
      </w:r>
      <w:r w:rsidR="00D60C9F">
        <w:rPr>
          <w:rFonts w:ascii="Arial" w:hAnsi="Arial"/>
        </w:rPr>
        <w:t>, work began on the EIR</w:t>
      </w:r>
      <w:r w:rsidRPr="00D90207">
        <w:rPr>
          <w:rFonts w:ascii="Arial" w:hAnsi="Arial"/>
        </w:rPr>
        <w:t xml:space="preserve"> on March 2</w:t>
      </w:r>
      <w:r>
        <w:rPr>
          <w:rFonts w:ascii="Arial" w:hAnsi="Arial"/>
        </w:rPr>
        <w:t>7, 2002</w:t>
      </w:r>
      <w:r w:rsidR="00495990">
        <w:rPr>
          <w:rFonts w:ascii="Arial" w:hAnsi="Arial"/>
        </w:rPr>
        <w:t>.</w:t>
      </w:r>
    </w:p>
    <w:p w:rsidR="00D90207" w:rsidRDefault="00D90207" w:rsidP="000C2AC0">
      <w:pPr>
        <w:tabs>
          <w:tab w:val="left" w:pos="-1440"/>
          <w:tab w:val="left" w:pos="-720"/>
          <w:tab w:val="left" w:pos="720"/>
          <w:tab w:val="left" w:pos="1320"/>
          <w:tab w:val="left" w:pos="4680"/>
          <w:tab w:val="left" w:pos="7560"/>
        </w:tabs>
        <w:rPr>
          <w:rFonts w:ascii="Arial" w:hAnsi="Arial"/>
        </w:rPr>
      </w:pPr>
    </w:p>
    <w:p w:rsidR="00FC6B99" w:rsidRDefault="00D90207" w:rsidP="000C2AC0">
      <w:pPr>
        <w:tabs>
          <w:tab w:val="left" w:pos="-1440"/>
          <w:tab w:val="left" w:pos="-720"/>
          <w:tab w:val="left" w:pos="720"/>
          <w:tab w:val="left" w:pos="1320"/>
          <w:tab w:val="left" w:pos="4680"/>
          <w:tab w:val="left" w:pos="7560"/>
        </w:tabs>
        <w:ind w:left="720"/>
        <w:rPr>
          <w:rFonts w:ascii="Arial" w:hAnsi="Arial"/>
        </w:rPr>
      </w:pPr>
      <w:r w:rsidRPr="00D90207">
        <w:rPr>
          <w:rFonts w:ascii="Arial" w:hAnsi="Arial"/>
        </w:rPr>
        <w:t>On October 29, 2002, work on the EIR</w:t>
      </w:r>
      <w:r>
        <w:rPr>
          <w:rFonts w:ascii="Arial" w:hAnsi="Arial"/>
        </w:rPr>
        <w:t xml:space="preserve"> was suspended</w:t>
      </w:r>
      <w:r w:rsidRPr="00D90207">
        <w:rPr>
          <w:rFonts w:ascii="Arial" w:hAnsi="Arial"/>
        </w:rPr>
        <w:t xml:space="preserve"> for 180 days in order to perform and analyze results of an A</w:t>
      </w:r>
      <w:r w:rsidR="008151BC">
        <w:rPr>
          <w:rFonts w:ascii="Arial" w:hAnsi="Arial"/>
        </w:rPr>
        <w:t xml:space="preserve">merican </w:t>
      </w:r>
      <w:r w:rsidRPr="00D90207">
        <w:rPr>
          <w:rFonts w:ascii="Arial" w:hAnsi="Arial"/>
        </w:rPr>
        <w:t>P</w:t>
      </w:r>
      <w:r w:rsidR="008151BC">
        <w:rPr>
          <w:rFonts w:ascii="Arial" w:hAnsi="Arial"/>
        </w:rPr>
        <w:t xml:space="preserve">etroleum </w:t>
      </w:r>
      <w:r w:rsidRPr="00D90207">
        <w:rPr>
          <w:rFonts w:ascii="Arial" w:hAnsi="Arial"/>
        </w:rPr>
        <w:t>I</w:t>
      </w:r>
      <w:r w:rsidR="008151BC">
        <w:rPr>
          <w:rFonts w:ascii="Arial" w:hAnsi="Arial"/>
        </w:rPr>
        <w:t>nstitute (API)</w:t>
      </w:r>
      <w:r w:rsidRPr="00D90207">
        <w:rPr>
          <w:rFonts w:ascii="Arial" w:hAnsi="Arial"/>
        </w:rPr>
        <w:t xml:space="preserve"> level</w:t>
      </w:r>
      <w:r w:rsidR="008151BC">
        <w:rPr>
          <w:rFonts w:ascii="Arial" w:hAnsi="Arial"/>
        </w:rPr>
        <w:t xml:space="preserve"> 3</w:t>
      </w:r>
      <w:r w:rsidRPr="00D90207">
        <w:rPr>
          <w:rFonts w:ascii="Arial" w:hAnsi="Arial"/>
        </w:rPr>
        <w:t xml:space="preserve"> structural survey </w:t>
      </w:r>
      <w:r w:rsidR="00284904">
        <w:rPr>
          <w:rFonts w:ascii="Arial" w:hAnsi="Arial"/>
        </w:rPr>
        <w:t xml:space="preserve">that was needed to determine if </w:t>
      </w:r>
      <w:r w:rsidRPr="00D90207">
        <w:rPr>
          <w:rFonts w:ascii="Arial" w:hAnsi="Arial"/>
        </w:rPr>
        <w:t xml:space="preserve">any major work was required to strengthen </w:t>
      </w:r>
      <w:r w:rsidR="00284904">
        <w:rPr>
          <w:rFonts w:ascii="Arial" w:hAnsi="Arial"/>
        </w:rPr>
        <w:t xml:space="preserve">Platform Hogan, </w:t>
      </w:r>
      <w:r w:rsidRPr="00D90207">
        <w:rPr>
          <w:rFonts w:ascii="Arial" w:hAnsi="Arial"/>
        </w:rPr>
        <w:t xml:space="preserve">the platform </w:t>
      </w:r>
      <w:r w:rsidR="00284904">
        <w:rPr>
          <w:rFonts w:ascii="Arial" w:hAnsi="Arial"/>
        </w:rPr>
        <w:t xml:space="preserve">in federal waters from which the development of the state leases would occur, </w:t>
      </w:r>
      <w:r w:rsidRPr="00D90207">
        <w:rPr>
          <w:rFonts w:ascii="Arial" w:hAnsi="Arial"/>
        </w:rPr>
        <w:t xml:space="preserve">and </w:t>
      </w:r>
      <w:r w:rsidR="00284904">
        <w:rPr>
          <w:rFonts w:ascii="Arial" w:hAnsi="Arial"/>
        </w:rPr>
        <w:t>if such work were required, whether this work had</w:t>
      </w:r>
      <w:r w:rsidRPr="00D90207">
        <w:rPr>
          <w:rFonts w:ascii="Arial" w:hAnsi="Arial"/>
        </w:rPr>
        <w:t xml:space="preserve"> to be considered in the EIR.  A</w:t>
      </w:r>
      <w:r w:rsidR="008151BC">
        <w:rPr>
          <w:rFonts w:ascii="Arial" w:hAnsi="Arial"/>
        </w:rPr>
        <w:t>n additional</w:t>
      </w:r>
      <w:r w:rsidRPr="00D90207">
        <w:rPr>
          <w:rFonts w:ascii="Arial" w:hAnsi="Arial"/>
        </w:rPr>
        <w:t xml:space="preserve"> extension</w:t>
      </w:r>
      <w:r w:rsidR="003F7221">
        <w:rPr>
          <w:rFonts w:ascii="Arial" w:hAnsi="Arial"/>
        </w:rPr>
        <w:t xml:space="preserve"> of 120 days</w:t>
      </w:r>
      <w:r w:rsidRPr="00D90207">
        <w:rPr>
          <w:rFonts w:ascii="Arial" w:hAnsi="Arial"/>
        </w:rPr>
        <w:t xml:space="preserve"> was requested </w:t>
      </w:r>
      <w:r w:rsidR="00284904">
        <w:rPr>
          <w:rFonts w:ascii="Arial" w:hAnsi="Arial"/>
        </w:rPr>
        <w:t xml:space="preserve">by Carone </w:t>
      </w:r>
      <w:r w:rsidRPr="00D90207">
        <w:rPr>
          <w:rFonts w:ascii="Arial" w:hAnsi="Arial"/>
        </w:rPr>
        <w:t xml:space="preserve">and approved </w:t>
      </w:r>
      <w:r w:rsidR="00284904">
        <w:rPr>
          <w:rFonts w:ascii="Arial" w:hAnsi="Arial"/>
        </w:rPr>
        <w:t>by staff because</w:t>
      </w:r>
      <w:r w:rsidRPr="00D90207">
        <w:rPr>
          <w:rFonts w:ascii="Arial" w:hAnsi="Arial"/>
        </w:rPr>
        <w:t xml:space="preserve"> the analysis of t</w:t>
      </w:r>
      <w:r>
        <w:rPr>
          <w:rFonts w:ascii="Arial" w:hAnsi="Arial"/>
        </w:rPr>
        <w:t>he survey was not yet available</w:t>
      </w:r>
      <w:r w:rsidRPr="00D90207">
        <w:rPr>
          <w:rFonts w:ascii="Arial" w:hAnsi="Arial"/>
        </w:rPr>
        <w:t>.</w:t>
      </w:r>
      <w:r>
        <w:rPr>
          <w:rFonts w:ascii="Arial" w:hAnsi="Arial"/>
        </w:rPr>
        <w:t xml:space="preserve">  </w:t>
      </w:r>
      <w:r w:rsidR="003F7221">
        <w:rPr>
          <w:rFonts w:ascii="Arial" w:hAnsi="Arial"/>
        </w:rPr>
        <w:t>T</w:t>
      </w:r>
      <w:r w:rsidR="00284904">
        <w:rPr>
          <w:rFonts w:ascii="Arial" w:hAnsi="Arial"/>
        </w:rPr>
        <w:t xml:space="preserve">he analysis </w:t>
      </w:r>
      <w:r w:rsidRPr="00D90207">
        <w:rPr>
          <w:rFonts w:ascii="Arial" w:hAnsi="Arial"/>
        </w:rPr>
        <w:t>of the surve</w:t>
      </w:r>
      <w:r>
        <w:rPr>
          <w:rFonts w:ascii="Arial" w:hAnsi="Arial"/>
        </w:rPr>
        <w:t>y</w:t>
      </w:r>
      <w:r w:rsidR="004D3E5A">
        <w:rPr>
          <w:rFonts w:ascii="Arial" w:hAnsi="Arial"/>
        </w:rPr>
        <w:t xml:space="preserve"> showed </w:t>
      </w:r>
      <w:r w:rsidR="005357AB">
        <w:rPr>
          <w:rFonts w:ascii="Arial" w:hAnsi="Arial"/>
        </w:rPr>
        <w:t>that</w:t>
      </w:r>
      <w:r w:rsidR="00A6712D">
        <w:rPr>
          <w:rFonts w:ascii="Arial" w:hAnsi="Arial"/>
        </w:rPr>
        <w:t xml:space="preserve"> although some maintenance and repair work was required,</w:t>
      </w:r>
      <w:r w:rsidR="005357AB">
        <w:rPr>
          <w:rFonts w:ascii="Arial" w:hAnsi="Arial"/>
        </w:rPr>
        <w:t xml:space="preserve"> no major modifications </w:t>
      </w:r>
      <w:r w:rsidR="004D3E5A">
        <w:rPr>
          <w:rFonts w:ascii="Arial" w:hAnsi="Arial"/>
        </w:rPr>
        <w:t xml:space="preserve">of the platform </w:t>
      </w:r>
      <w:r w:rsidR="005357AB">
        <w:rPr>
          <w:rFonts w:ascii="Arial" w:hAnsi="Arial"/>
        </w:rPr>
        <w:t xml:space="preserve">would be needed </w:t>
      </w:r>
      <w:r w:rsidR="004D3E5A">
        <w:rPr>
          <w:rFonts w:ascii="Arial" w:hAnsi="Arial"/>
        </w:rPr>
        <w:t>so that there would be no</w:t>
      </w:r>
      <w:r>
        <w:rPr>
          <w:rFonts w:ascii="Arial" w:hAnsi="Arial"/>
        </w:rPr>
        <w:t xml:space="preserve"> </w:t>
      </w:r>
      <w:r w:rsidR="005357AB">
        <w:rPr>
          <w:rFonts w:ascii="Arial" w:hAnsi="Arial"/>
        </w:rPr>
        <w:t>construction</w:t>
      </w:r>
      <w:r w:rsidR="00284904">
        <w:rPr>
          <w:rFonts w:ascii="Arial" w:hAnsi="Arial"/>
        </w:rPr>
        <w:t xml:space="preserve"> requiring consideration in the</w:t>
      </w:r>
      <w:r w:rsidRPr="00D90207">
        <w:rPr>
          <w:rFonts w:ascii="Arial" w:hAnsi="Arial"/>
        </w:rPr>
        <w:t xml:space="preserve"> EIR</w:t>
      </w:r>
      <w:r w:rsidR="00284904">
        <w:rPr>
          <w:rFonts w:ascii="Arial" w:hAnsi="Arial"/>
        </w:rPr>
        <w:t>.</w:t>
      </w:r>
      <w:r w:rsidR="00A6712D">
        <w:rPr>
          <w:rFonts w:ascii="Arial" w:hAnsi="Arial"/>
        </w:rPr>
        <w:t xml:space="preserve">  However, left unresolved was the seismic analysis required by the </w:t>
      </w:r>
      <w:r w:rsidR="00582167">
        <w:rPr>
          <w:rFonts w:ascii="Arial" w:hAnsi="Arial"/>
        </w:rPr>
        <w:t>S</w:t>
      </w:r>
      <w:r w:rsidR="00A6712D">
        <w:rPr>
          <w:rFonts w:ascii="Arial" w:hAnsi="Arial"/>
        </w:rPr>
        <w:t xml:space="preserve">tate (to a 1000 year event) using new site specific standards.  When the MMS determined that a structural requalification of Platform Hogan would be required, </w:t>
      </w:r>
      <w:r w:rsidR="00FC6B99">
        <w:rPr>
          <w:rFonts w:ascii="Arial" w:hAnsi="Arial"/>
        </w:rPr>
        <w:t>the parties agreed</w:t>
      </w:r>
      <w:r w:rsidR="00A6712D">
        <w:rPr>
          <w:rFonts w:ascii="Arial" w:hAnsi="Arial"/>
        </w:rPr>
        <w:t xml:space="preserve"> to finish the seismic analysis through that process.  </w:t>
      </w:r>
    </w:p>
    <w:p w:rsidR="00FC6B99" w:rsidRDefault="00FC6B99" w:rsidP="000C2AC0">
      <w:pPr>
        <w:tabs>
          <w:tab w:val="left" w:pos="-1440"/>
          <w:tab w:val="left" w:pos="-720"/>
          <w:tab w:val="left" w:pos="720"/>
          <w:tab w:val="left" w:pos="1320"/>
          <w:tab w:val="left" w:pos="4680"/>
          <w:tab w:val="left" w:pos="7560"/>
        </w:tabs>
        <w:ind w:left="720"/>
        <w:rPr>
          <w:rFonts w:ascii="Arial" w:hAnsi="Arial"/>
        </w:rPr>
      </w:pPr>
    </w:p>
    <w:p w:rsidR="00D90207" w:rsidRDefault="00284904" w:rsidP="000C2AC0">
      <w:pPr>
        <w:tabs>
          <w:tab w:val="left" w:pos="-1440"/>
          <w:tab w:val="left" w:pos="-720"/>
          <w:tab w:val="left" w:pos="720"/>
          <w:tab w:val="left" w:pos="1320"/>
          <w:tab w:val="left" w:pos="4680"/>
          <w:tab w:val="left" w:pos="7560"/>
        </w:tabs>
        <w:ind w:left="720"/>
        <w:rPr>
          <w:rFonts w:ascii="Arial" w:hAnsi="Arial"/>
        </w:rPr>
      </w:pPr>
      <w:r>
        <w:rPr>
          <w:rFonts w:ascii="Arial" w:hAnsi="Arial"/>
        </w:rPr>
        <w:t>U</w:t>
      </w:r>
      <w:r w:rsidR="00D90207" w:rsidRPr="00D90207">
        <w:rPr>
          <w:rFonts w:ascii="Arial" w:hAnsi="Arial"/>
        </w:rPr>
        <w:t xml:space="preserve">pon expiration of the </w:t>
      </w:r>
      <w:r>
        <w:rPr>
          <w:rFonts w:ascii="Arial" w:hAnsi="Arial"/>
        </w:rPr>
        <w:t>suspension</w:t>
      </w:r>
      <w:r w:rsidR="00D90207" w:rsidRPr="00D90207">
        <w:rPr>
          <w:rFonts w:ascii="Arial" w:hAnsi="Arial"/>
        </w:rPr>
        <w:t xml:space="preserve">, staff contacted Carone to resume work on the EIR.  Carone requested </w:t>
      </w:r>
      <w:r w:rsidR="00D90207">
        <w:rPr>
          <w:rFonts w:ascii="Arial" w:hAnsi="Arial"/>
        </w:rPr>
        <w:t xml:space="preserve">further </w:t>
      </w:r>
      <w:r w:rsidR="00D90207" w:rsidRPr="00D90207">
        <w:rPr>
          <w:rFonts w:ascii="Arial" w:hAnsi="Arial"/>
        </w:rPr>
        <w:t>suspension of work on the EIR</w:t>
      </w:r>
      <w:r w:rsidR="00C133C2">
        <w:rPr>
          <w:rFonts w:ascii="Arial" w:hAnsi="Arial"/>
        </w:rPr>
        <w:t xml:space="preserve"> on June 10, 2003 and October 24, 2003</w:t>
      </w:r>
      <w:r w:rsidR="00D90207" w:rsidRPr="00D90207">
        <w:rPr>
          <w:rFonts w:ascii="Arial" w:hAnsi="Arial"/>
        </w:rPr>
        <w:t xml:space="preserve"> in order to finish the expensive maintenance and repair work required </w:t>
      </w:r>
      <w:r>
        <w:rPr>
          <w:rFonts w:ascii="Arial" w:hAnsi="Arial"/>
        </w:rPr>
        <w:t>by</w:t>
      </w:r>
      <w:r w:rsidR="00D90207">
        <w:rPr>
          <w:rFonts w:ascii="Arial" w:hAnsi="Arial"/>
        </w:rPr>
        <w:t xml:space="preserve"> the API survey</w:t>
      </w:r>
      <w:r>
        <w:rPr>
          <w:rFonts w:ascii="Arial" w:hAnsi="Arial"/>
        </w:rPr>
        <w:t xml:space="preserve"> on its two federal platforms, Platform Hogan and Platform Houchin</w:t>
      </w:r>
      <w:r w:rsidR="00D90207">
        <w:rPr>
          <w:rFonts w:ascii="Arial" w:hAnsi="Arial"/>
        </w:rPr>
        <w:t>.</w:t>
      </w:r>
    </w:p>
    <w:p w:rsidR="00D90207" w:rsidRDefault="00D90207" w:rsidP="000C2AC0">
      <w:pPr>
        <w:tabs>
          <w:tab w:val="left" w:pos="-1440"/>
          <w:tab w:val="left" w:pos="-720"/>
          <w:tab w:val="left" w:pos="720"/>
          <w:tab w:val="left" w:pos="1320"/>
          <w:tab w:val="left" w:pos="4680"/>
          <w:tab w:val="left" w:pos="7560"/>
        </w:tabs>
        <w:ind w:left="720"/>
        <w:rPr>
          <w:rFonts w:ascii="Arial" w:hAnsi="Arial"/>
        </w:rPr>
      </w:pPr>
    </w:p>
    <w:p w:rsidR="0028354F" w:rsidRDefault="0028354F">
      <w:pPr>
        <w:widowControl/>
        <w:rPr>
          <w:rFonts w:ascii="Arial" w:hAnsi="Arial"/>
        </w:rPr>
      </w:pPr>
      <w:r>
        <w:rPr>
          <w:rFonts w:ascii="Arial" w:hAnsi="Arial"/>
        </w:rPr>
        <w:br w:type="page"/>
      </w:r>
    </w:p>
    <w:p w:rsidR="005357AB" w:rsidRDefault="00D90207" w:rsidP="000C2AC0">
      <w:pPr>
        <w:tabs>
          <w:tab w:val="left" w:pos="-1440"/>
          <w:tab w:val="left" w:pos="-720"/>
          <w:tab w:val="left" w:pos="720"/>
          <w:tab w:val="left" w:pos="1320"/>
          <w:tab w:val="left" w:pos="4680"/>
          <w:tab w:val="left" w:pos="7560"/>
        </w:tabs>
        <w:ind w:left="720"/>
        <w:rPr>
          <w:rFonts w:ascii="Arial" w:hAnsi="Arial"/>
        </w:rPr>
      </w:pPr>
      <w:r w:rsidRPr="00D90207">
        <w:rPr>
          <w:rFonts w:ascii="Arial" w:hAnsi="Arial"/>
        </w:rPr>
        <w:lastRenderedPageBreak/>
        <w:t>In February of 2004,</w:t>
      </w:r>
      <w:r w:rsidR="000C4AA7">
        <w:rPr>
          <w:rFonts w:ascii="Arial" w:hAnsi="Arial"/>
        </w:rPr>
        <w:t xml:space="preserve"> after continued requests by s</w:t>
      </w:r>
      <w:r w:rsidR="00C133C2">
        <w:rPr>
          <w:rFonts w:ascii="Arial" w:hAnsi="Arial"/>
        </w:rPr>
        <w:t>taff,</w:t>
      </w:r>
      <w:r w:rsidRPr="00D90207">
        <w:rPr>
          <w:rFonts w:ascii="Arial" w:hAnsi="Arial"/>
        </w:rPr>
        <w:t xml:space="preserve"> Carone </w:t>
      </w:r>
      <w:r w:rsidR="00DE6867">
        <w:rPr>
          <w:rFonts w:ascii="Arial" w:hAnsi="Arial"/>
        </w:rPr>
        <w:t>reaffirm</w:t>
      </w:r>
      <w:r w:rsidR="00FC6B99">
        <w:rPr>
          <w:rFonts w:ascii="Arial" w:hAnsi="Arial"/>
        </w:rPr>
        <w:t>ed</w:t>
      </w:r>
      <w:r w:rsidR="00DE6867">
        <w:rPr>
          <w:rFonts w:ascii="Arial" w:hAnsi="Arial"/>
        </w:rPr>
        <w:t xml:space="preserve"> its</w:t>
      </w:r>
      <w:r w:rsidRPr="00D90207">
        <w:rPr>
          <w:rFonts w:ascii="Arial" w:hAnsi="Arial"/>
        </w:rPr>
        <w:t xml:space="preserve"> commitment to the development project and </w:t>
      </w:r>
      <w:r w:rsidR="00FC6B99">
        <w:rPr>
          <w:rFonts w:ascii="Arial" w:hAnsi="Arial"/>
        </w:rPr>
        <w:t xml:space="preserve">represented </w:t>
      </w:r>
      <w:r w:rsidRPr="00D90207">
        <w:rPr>
          <w:rFonts w:ascii="Arial" w:hAnsi="Arial"/>
        </w:rPr>
        <w:t xml:space="preserve">unequivocally </w:t>
      </w:r>
      <w:r w:rsidR="0040702A">
        <w:rPr>
          <w:rFonts w:ascii="Arial" w:hAnsi="Arial"/>
        </w:rPr>
        <w:t xml:space="preserve">that it </w:t>
      </w:r>
      <w:r w:rsidRPr="00D90207">
        <w:rPr>
          <w:rFonts w:ascii="Arial" w:hAnsi="Arial"/>
        </w:rPr>
        <w:t xml:space="preserve">would </w:t>
      </w:r>
      <w:r w:rsidR="00FC6B99">
        <w:rPr>
          <w:rFonts w:ascii="Arial" w:hAnsi="Arial"/>
        </w:rPr>
        <w:t xml:space="preserve">authorize </w:t>
      </w:r>
      <w:r w:rsidRPr="00D90207">
        <w:rPr>
          <w:rFonts w:ascii="Arial" w:hAnsi="Arial"/>
        </w:rPr>
        <w:t>resum</w:t>
      </w:r>
      <w:r w:rsidR="00FC6B99">
        <w:rPr>
          <w:rFonts w:ascii="Arial" w:hAnsi="Arial"/>
        </w:rPr>
        <w:t>ption of</w:t>
      </w:r>
      <w:r w:rsidRPr="00D90207">
        <w:rPr>
          <w:rFonts w:ascii="Arial" w:hAnsi="Arial"/>
        </w:rPr>
        <w:t xml:space="preserve"> work o</w:t>
      </w:r>
      <w:r w:rsidR="00DE6867">
        <w:rPr>
          <w:rFonts w:ascii="Arial" w:hAnsi="Arial"/>
        </w:rPr>
        <w:t>n</w:t>
      </w:r>
      <w:r w:rsidRPr="00D90207">
        <w:rPr>
          <w:rFonts w:ascii="Arial" w:hAnsi="Arial"/>
        </w:rPr>
        <w:t xml:space="preserve"> the EIR no later than May 1, 2004, </w:t>
      </w:r>
      <w:r w:rsidR="00DE6867">
        <w:rPr>
          <w:rFonts w:ascii="Arial" w:hAnsi="Arial"/>
        </w:rPr>
        <w:t>and if it failed to do so, it would</w:t>
      </w:r>
      <w:r w:rsidRPr="00D90207">
        <w:rPr>
          <w:rFonts w:ascii="Arial" w:hAnsi="Arial"/>
        </w:rPr>
        <w:t xml:space="preserve"> quitclaim the leases.</w:t>
      </w:r>
      <w:r>
        <w:rPr>
          <w:rFonts w:ascii="Arial" w:hAnsi="Arial"/>
        </w:rPr>
        <w:t xml:space="preserve">  </w:t>
      </w:r>
      <w:r w:rsidR="005357AB">
        <w:rPr>
          <w:rFonts w:ascii="Arial" w:hAnsi="Arial"/>
        </w:rPr>
        <w:t>On May 1, 2004</w:t>
      </w:r>
      <w:r w:rsidR="006A0B90">
        <w:rPr>
          <w:rFonts w:ascii="Arial" w:hAnsi="Arial"/>
        </w:rPr>
        <w:t xml:space="preserve">, </w:t>
      </w:r>
      <w:r w:rsidR="00C133C2">
        <w:rPr>
          <w:rFonts w:ascii="Arial" w:hAnsi="Arial"/>
        </w:rPr>
        <w:t>Carone</w:t>
      </w:r>
      <w:r w:rsidR="007F58F7">
        <w:rPr>
          <w:rFonts w:ascii="Arial" w:hAnsi="Arial"/>
        </w:rPr>
        <w:t xml:space="preserve"> </w:t>
      </w:r>
      <w:r w:rsidR="005357AB">
        <w:rPr>
          <w:rFonts w:ascii="Arial" w:hAnsi="Arial"/>
        </w:rPr>
        <w:t>directed</w:t>
      </w:r>
      <w:r w:rsidR="007F58F7">
        <w:rPr>
          <w:rFonts w:ascii="Arial" w:hAnsi="Arial"/>
        </w:rPr>
        <w:t xml:space="preserve"> staff </w:t>
      </w:r>
      <w:r w:rsidR="007D1473">
        <w:rPr>
          <w:rFonts w:ascii="Arial" w:hAnsi="Arial"/>
        </w:rPr>
        <w:t>to resume</w:t>
      </w:r>
      <w:r w:rsidR="00C133C2">
        <w:rPr>
          <w:rFonts w:ascii="Arial" w:hAnsi="Arial"/>
        </w:rPr>
        <w:t xml:space="preserve"> work on the EIR</w:t>
      </w:r>
      <w:r w:rsidR="006A0B90">
        <w:rPr>
          <w:rFonts w:ascii="Arial" w:hAnsi="Arial"/>
        </w:rPr>
        <w:t>.</w:t>
      </w:r>
      <w:r w:rsidR="00FC6B99">
        <w:rPr>
          <w:rFonts w:ascii="Arial" w:hAnsi="Arial"/>
        </w:rPr>
        <w:t xml:space="preserve">  </w:t>
      </w:r>
      <w:r w:rsidR="00C133C2">
        <w:rPr>
          <w:rFonts w:ascii="Arial" w:hAnsi="Arial"/>
        </w:rPr>
        <w:t>A</w:t>
      </w:r>
      <w:r w:rsidRPr="00D90207">
        <w:rPr>
          <w:rFonts w:ascii="Arial" w:hAnsi="Arial"/>
        </w:rPr>
        <w:t xml:space="preserve">n Administrative Draft of the EIR was </w:t>
      </w:r>
      <w:r w:rsidR="000C4AA7">
        <w:rPr>
          <w:rFonts w:ascii="Arial" w:hAnsi="Arial"/>
        </w:rPr>
        <w:t>completed</w:t>
      </w:r>
      <w:r w:rsidRPr="00D90207">
        <w:rPr>
          <w:rFonts w:ascii="Arial" w:hAnsi="Arial"/>
        </w:rPr>
        <w:t xml:space="preserve"> </w:t>
      </w:r>
      <w:r w:rsidR="008151BC">
        <w:rPr>
          <w:rFonts w:ascii="Arial" w:hAnsi="Arial"/>
        </w:rPr>
        <w:t>for</w:t>
      </w:r>
      <w:r w:rsidRPr="00D90207">
        <w:rPr>
          <w:rFonts w:ascii="Arial" w:hAnsi="Arial"/>
        </w:rPr>
        <w:t xml:space="preserve"> staff</w:t>
      </w:r>
      <w:r w:rsidR="008151BC">
        <w:rPr>
          <w:rFonts w:ascii="Arial" w:hAnsi="Arial"/>
        </w:rPr>
        <w:t xml:space="preserve"> review</w:t>
      </w:r>
      <w:r w:rsidRPr="00D90207">
        <w:rPr>
          <w:rFonts w:ascii="Arial" w:hAnsi="Arial"/>
        </w:rPr>
        <w:t xml:space="preserve"> in January 2005.</w:t>
      </w:r>
    </w:p>
    <w:p w:rsidR="005357AB" w:rsidRDefault="005357AB" w:rsidP="000C2AC0">
      <w:pPr>
        <w:tabs>
          <w:tab w:val="left" w:pos="-1440"/>
          <w:tab w:val="left" w:pos="-720"/>
          <w:tab w:val="left" w:pos="720"/>
          <w:tab w:val="left" w:pos="1320"/>
          <w:tab w:val="left" w:pos="4680"/>
          <w:tab w:val="left" w:pos="7560"/>
        </w:tabs>
        <w:ind w:left="720"/>
        <w:rPr>
          <w:rFonts w:ascii="Arial" w:hAnsi="Arial"/>
        </w:rPr>
      </w:pPr>
    </w:p>
    <w:p w:rsidR="00D90207" w:rsidRDefault="009A5C7E" w:rsidP="000C2AC0">
      <w:pPr>
        <w:tabs>
          <w:tab w:val="left" w:pos="-1440"/>
          <w:tab w:val="left" w:pos="-720"/>
          <w:tab w:val="left" w:pos="720"/>
          <w:tab w:val="left" w:pos="1320"/>
          <w:tab w:val="left" w:pos="4680"/>
          <w:tab w:val="left" w:pos="7560"/>
        </w:tabs>
        <w:ind w:left="720"/>
        <w:rPr>
          <w:rFonts w:ascii="Arial" w:hAnsi="Arial"/>
        </w:rPr>
      </w:pPr>
      <w:r>
        <w:rPr>
          <w:rFonts w:ascii="Arial" w:hAnsi="Arial"/>
        </w:rPr>
        <w:t>The federal review</w:t>
      </w:r>
      <w:r w:rsidR="00654D53">
        <w:rPr>
          <w:rFonts w:ascii="Arial" w:hAnsi="Arial"/>
        </w:rPr>
        <w:t xml:space="preserve"> process</w:t>
      </w:r>
      <w:r w:rsidR="00FC6B99">
        <w:rPr>
          <w:rFonts w:ascii="Arial" w:hAnsi="Arial"/>
        </w:rPr>
        <w:t>,</w:t>
      </w:r>
      <w:r>
        <w:rPr>
          <w:rFonts w:ascii="Arial" w:hAnsi="Arial"/>
        </w:rPr>
        <w:t xml:space="preserve"> </w:t>
      </w:r>
      <w:r w:rsidR="005357AB">
        <w:rPr>
          <w:rFonts w:ascii="Arial" w:hAnsi="Arial"/>
        </w:rPr>
        <w:t>requiring</w:t>
      </w:r>
      <w:r w:rsidR="004D3E5A">
        <w:rPr>
          <w:rFonts w:ascii="Arial" w:hAnsi="Arial"/>
        </w:rPr>
        <w:t>, among other matters,</w:t>
      </w:r>
      <w:r w:rsidR="005357AB">
        <w:rPr>
          <w:rFonts w:ascii="Arial" w:hAnsi="Arial"/>
        </w:rPr>
        <w:t xml:space="preserve"> an expanded</w:t>
      </w:r>
      <w:r>
        <w:rPr>
          <w:rFonts w:ascii="Arial" w:hAnsi="Arial"/>
        </w:rPr>
        <w:t xml:space="preserve"> structural analysis</w:t>
      </w:r>
      <w:r w:rsidR="004D3E5A">
        <w:rPr>
          <w:rFonts w:ascii="Arial" w:hAnsi="Arial"/>
        </w:rPr>
        <w:t xml:space="preserve"> of Platform Hogan (see below)</w:t>
      </w:r>
      <w:r w:rsidR="00A6712D">
        <w:rPr>
          <w:rFonts w:ascii="Arial" w:hAnsi="Arial"/>
        </w:rPr>
        <w:t xml:space="preserve"> and finalization of the seismic analysis,</w:t>
      </w:r>
      <w:r>
        <w:rPr>
          <w:rFonts w:ascii="Arial" w:hAnsi="Arial"/>
        </w:rPr>
        <w:t xml:space="preserve"> caused further delays and requests</w:t>
      </w:r>
      <w:r w:rsidR="004D3E5A">
        <w:rPr>
          <w:rFonts w:ascii="Arial" w:hAnsi="Arial"/>
        </w:rPr>
        <w:t xml:space="preserve"> from Carone</w:t>
      </w:r>
      <w:r>
        <w:rPr>
          <w:rFonts w:ascii="Arial" w:hAnsi="Arial"/>
        </w:rPr>
        <w:t xml:space="preserve"> for suspension of the</w:t>
      </w:r>
      <w:r w:rsidR="004D3E5A">
        <w:rPr>
          <w:rFonts w:ascii="Arial" w:hAnsi="Arial"/>
        </w:rPr>
        <w:t xml:space="preserve"> EIR</w:t>
      </w:r>
      <w:r>
        <w:rPr>
          <w:rFonts w:ascii="Arial" w:hAnsi="Arial"/>
        </w:rPr>
        <w:t xml:space="preserve"> process. </w:t>
      </w:r>
      <w:r w:rsidR="00D90207" w:rsidRPr="00D90207">
        <w:rPr>
          <w:rFonts w:ascii="Arial" w:hAnsi="Arial"/>
        </w:rPr>
        <w:t xml:space="preserve"> </w:t>
      </w:r>
      <w:r w:rsidR="005357AB">
        <w:rPr>
          <w:rFonts w:ascii="Arial" w:hAnsi="Arial"/>
        </w:rPr>
        <w:t xml:space="preserve">Ultimately, </w:t>
      </w:r>
      <w:r w:rsidR="008151BC">
        <w:rPr>
          <w:rFonts w:ascii="Arial" w:hAnsi="Arial"/>
        </w:rPr>
        <w:t xml:space="preserve">Carone </w:t>
      </w:r>
      <w:r w:rsidR="00DB171B">
        <w:rPr>
          <w:rFonts w:ascii="Arial" w:hAnsi="Arial"/>
        </w:rPr>
        <w:t>did not seek resumption of the work on the EIR and t</w:t>
      </w:r>
      <w:r w:rsidR="00D90207">
        <w:rPr>
          <w:rFonts w:ascii="Arial" w:hAnsi="Arial"/>
        </w:rPr>
        <w:t xml:space="preserve">he EIR contract </w:t>
      </w:r>
      <w:r w:rsidR="005357AB">
        <w:rPr>
          <w:rFonts w:ascii="Arial" w:hAnsi="Arial"/>
        </w:rPr>
        <w:t xml:space="preserve">with </w:t>
      </w:r>
      <w:r w:rsidR="004D3E5A">
        <w:rPr>
          <w:rFonts w:ascii="Arial" w:hAnsi="Arial"/>
        </w:rPr>
        <w:t xml:space="preserve">the </w:t>
      </w:r>
      <w:r w:rsidR="00582167">
        <w:rPr>
          <w:rFonts w:ascii="Arial" w:hAnsi="Arial"/>
        </w:rPr>
        <w:t>S</w:t>
      </w:r>
      <w:r w:rsidR="004D3E5A">
        <w:rPr>
          <w:rFonts w:ascii="Arial" w:hAnsi="Arial"/>
        </w:rPr>
        <w:t>tate’s</w:t>
      </w:r>
      <w:r w:rsidR="005357AB">
        <w:rPr>
          <w:rFonts w:ascii="Arial" w:hAnsi="Arial"/>
        </w:rPr>
        <w:t xml:space="preserve"> consultant </w:t>
      </w:r>
      <w:r w:rsidR="00D90207">
        <w:rPr>
          <w:rFonts w:ascii="Arial" w:hAnsi="Arial"/>
        </w:rPr>
        <w:t>expired in January 2008.</w:t>
      </w:r>
      <w:r w:rsidR="006A0B90" w:rsidRPr="006A0B90">
        <w:rPr>
          <w:rFonts w:ascii="Arial" w:hAnsi="Arial"/>
        </w:rPr>
        <w:t xml:space="preserve"> </w:t>
      </w:r>
      <w:r w:rsidR="006A0B90">
        <w:rPr>
          <w:rFonts w:ascii="Arial" w:hAnsi="Arial"/>
        </w:rPr>
        <w:t xml:space="preserve"> As of March 2009, eight years </w:t>
      </w:r>
      <w:r w:rsidR="00FC6B99">
        <w:rPr>
          <w:rFonts w:ascii="Arial" w:hAnsi="Arial"/>
        </w:rPr>
        <w:t xml:space="preserve">have passed </w:t>
      </w:r>
      <w:r w:rsidR="006A0B90">
        <w:rPr>
          <w:rFonts w:ascii="Arial" w:hAnsi="Arial"/>
        </w:rPr>
        <w:t xml:space="preserve">since the EIR process was started and four years </w:t>
      </w:r>
      <w:r w:rsidR="00FC6B99">
        <w:rPr>
          <w:rFonts w:ascii="Arial" w:hAnsi="Arial"/>
        </w:rPr>
        <w:t xml:space="preserve">have passed </w:t>
      </w:r>
      <w:r w:rsidR="006A0B90">
        <w:rPr>
          <w:rFonts w:ascii="Arial" w:hAnsi="Arial"/>
        </w:rPr>
        <w:t>since</w:t>
      </w:r>
      <w:r w:rsidR="003F7221">
        <w:rPr>
          <w:rFonts w:ascii="Arial" w:hAnsi="Arial"/>
        </w:rPr>
        <w:t xml:space="preserve"> the process</w:t>
      </w:r>
      <w:r w:rsidR="006A0B90">
        <w:rPr>
          <w:rFonts w:ascii="Arial" w:hAnsi="Arial"/>
        </w:rPr>
        <w:t xml:space="preserve"> stalled at the Administrative Draft phase</w:t>
      </w:r>
      <w:r w:rsidR="003F7221">
        <w:rPr>
          <w:rFonts w:ascii="Arial" w:hAnsi="Arial"/>
        </w:rPr>
        <w:t xml:space="preserve">.  </w:t>
      </w:r>
      <w:r w:rsidR="006A0B90">
        <w:rPr>
          <w:rFonts w:ascii="Arial" w:hAnsi="Arial"/>
        </w:rPr>
        <w:t>Carone has</w:t>
      </w:r>
      <w:r w:rsidR="003F7221">
        <w:rPr>
          <w:rFonts w:ascii="Arial" w:hAnsi="Arial"/>
        </w:rPr>
        <w:t xml:space="preserve"> not</w:t>
      </w:r>
      <w:r w:rsidR="00675009">
        <w:rPr>
          <w:rFonts w:ascii="Arial" w:hAnsi="Arial"/>
        </w:rPr>
        <w:t xml:space="preserve"> </w:t>
      </w:r>
      <w:r w:rsidR="003F7221">
        <w:rPr>
          <w:rFonts w:ascii="Arial" w:hAnsi="Arial"/>
        </w:rPr>
        <w:t>taken the necessary steps to resume</w:t>
      </w:r>
      <w:r w:rsidR="006A0B90">
        <w:rPr>
          <w:rFonts w:ascii="Arial" w:hAnsi="Arial"/>
        </w:rPr>
        <w:t xml:space="preserve"> the EIR process</w:t>
      </w:r>
      <w:r w:rsidR="000C4AA7">
        <w:rPr>
          <w:rFonts w:ascii="Arial" w:hAnsi="Arial"/>
        </w:rPr>
        <w:t>.</w:t>
      </w:r>
    </w:p>
    <w:p w:rsidR="00B87206" w:rsidRDefault="00B87206" w:rsidP="000C2AC0">
      <w:pPr>
        <w:tabs>
          <w:tab w:val="left" w:pos="-1440"/>
          <w:tab w:val="left" w:pos="-720"/>
          <w:tab w:val="left" w:pos="720"/>
          <w:tab w:val="left" w:pos="1320"/>
          <w:tab w:val="left" w:pos="4680"/>
          <w:tab w:val="left" w:pos="7560"/>
        </w:tabs>
        <w:ind w:left="720"/>
        <w:rPr>
          <w:rFonts w:ascii="Arial" w:hAnsi="Arial"/>
        </w:rPr>
      </w:pPr>
    </w:p>
    <w:p w:rsidR="00B87206" w:rsidRPr="00B87206" w:rsidRDefault="00B87206" w:rsidP="000C2AC0">
      <w:pPr>
        <w:tabs>
          <w:tab w:val="left" w:pos="-1440"/>
          <w:tab w:val="left" w:pos="-720"/>
          <w:tab w:val="left" w:pos="720"/>
          <w:tab w:val="left" w:pos="1320"/>
          <w:tab w:val="left" w:pos="4680"/>
          <w:tab w:val="left" w:pos="7560"/>
        </w:tabs>
        <w:ind w:left="720"/>
        <w:rPr>
          <w:rFonts w:ascii="Arial" w:hAnsi="Arial"/>
          <w:b/>
        </w:rPr>
      </w:pPr>
      <w:r w:rsidRPr="00B87206">
        <w:rPr>
          <w:rFonts w:ascii="Arial" w:hAnsi="Arial"/>
          <w:b/>
        </w:rPr>
        <w:t>The Federal Process</w:t>
      </w:r>
    </w:p>
    <w:p w:rsidR="00D90207" w:rsidRDefault="009A5C7E" w:rsidP="000C2AC0">
      <w:pPr>
        <w:tabs>
          <w:tab w:val="left" w:pos="-1440"/>
          <w:tab w:val="left" w:pos="-720"/>
          <w:tab w:val="left" w:pos="720"/>
          <w:tab w:val="left" w:pos="1320"/>
          <w:tab w:val="left" w:pos="4680"/>
          <w:tab w:val="left" w:pos="7560"/>
        </w:tabs>
        <w:ind w:left="720"/>
        <w:rPr>
          <w:rFonts w:ascii="Arial" w:hAnsi="Arial"/>
        </w:rPr>
      </w:pPr>
      <w:r>
        <w:rPr>
          <w:rFonts w:ascii="Arial" w:hAnsi="Arial"/>
        </w:rPr>
        <w:t>I</w:t>
      </w:r>
      <w:r w:rsidRPr="00B87206">
        <w:rPr>
          <w:rFonts w:ascii="Arial" w:hAnsi="Arial"/>
        </w:rPr>
        <w:t xml:space="preserve">n order </w:t>
      </w:r>
      <w:r>
        <w:rPr>
          <w:rFonts w:ascii="Arial" w:hAnsi="Arial"/>
        </w:rPr>
        <w:t>for</w:t>
      </w:r>
      <w:r w:rsidR="007D1473">
        <w:rPr>
          <w:rFonts w:ascii="Arial" w:hAnsi="Arial"/>
        </w:rPr>
        <w:t xml:space="preserve"> the</w:t>
      </w:r>
      <w:r>
        <w:rPr>
          <w:rFonts w:ascii="Arial" w:hAnsi="Arial"/>
        </w:rPr>
        <w:t xml:space="preserve"> </w:t>
      </w:r>
      <w:r w:rsidR="007D1473">
        <w:rPr>
          <w:rFonts w:ascii="Arial" w:hAnsi="Arial"/>
        </w:rPr>
        <w:t>Mineral Management Service (</w:t>
      </w:r>
      <w:r>
        <w:rPr>
          <w:rFonts w:ascii="Arial" w:hAnsi="Arial"/>
        </w:rPr>
        <w:t>MMS</w:t>
      </w:r>
      <w:r w:rsidR="007D1473">
        <w:rPr>
          <w:rFonts w:ascii="Arial" w:hAnsi="Arial"/>
        </w:rPr>
        <w:t>)</w:t>
      </w:r>
      <w:r>
        <w:rPr>
          <w:rFonts w:ascii="Arial" w:hAnsi="Arial"/>
        </w:rPr>
        <w:t xml:space="preserve"> to </w:t>
      </w:r>
      <w:r w:rsidRPr="00B87206">
        <w:rPr>
          <w:rFonts w:ascii="Arial" w:hAnsi="Arial"/>
        </w:rPr>
        <w:t xml:space="preserve">approve </w:t>
      </w:r>
      <w:r>
        <w:rPr>
          <w:rFonts w:ascii="Arial" w:hAnsi="Arial"/>
        </w:rPr>
        <w:t xml:space="preserve">Carone’s proposal to </w:t>
      </w:r>
      <w:r w:rsidRPr="00B87206">
        <w:rPr>
          <w:rFonts w:ascii="Arial" w:hAnsi="Arial"/>
        </w:rPr>
        <w:t xml:space="preserve">drill into </w:t>
      </w:r>
      <w:r>
        <w:rPr>
          <w:rFonts w:ascii="Arial" w:hAnsi="Arial"/>
        </w:rPr>
        <w:t xml:space="preserve">its </w:t>
      </w:r>
      <w:r w:rsidR="00582167">
        <w:rPr>
          <w:rFonts w:ascii="Arial" w:hAnsi="Arial"/>
        </w:rPr>
        <w:t>S</w:t>
      </w:r>
      <w:r w:rsidRPr="00B87206">
        <w:rPr>
          <w:rFonts w:ascii="Arial" w:hAnsi="Arial"/>
        </w:rPr>
        <w:t xml:space="preserve">tate </w:t>
      </w:r>
      <w:r>
        <w:rPr>
          <w:rFonts w:ascii="Arial" w:hAnsi="Arial"/>
        </w:rPr>
        <w:t>leases</w:t>
      </w:r>
      <w:r w:rsidRPr="00B87206">
        <w:rPr>
          <w:rFonts w:ascii="Arial" w:hAnsi="Arial"/>
        </w:rPr>
        <w:t xml:space="preserve"> from </w:t>
      </w:r>
      <w:r>
        <w:rPr>
          <w:rFonts w:ascii="Arial" w:hAnsi="Arial"/>
        </w:rPr>
        <w:t>Platform Hogan, MMS</w:t>
      </w:r>
      <w:r w:rsidR="00B87206" w:rsidRPr="00B87206">
        <w:rPr>
          <w:rFonts w:ascii="Arial" w:hAnsi="Arial"/>
        </w:rPr>
        <w:t xml:space="preserve"> </w:t>
      </w:r>
      <w:r w:rsidR="002010CE">
        <w:rPr>
          <w:rFonts w:ascii="Arial" w:hAnsi="Arial"/>
        </w:rPr>
        <w:t xml:space="preserve">regulations </w:t>
      </w:r>
      <w:r w:rsidR="00B87206" w:rsidRPr="00B87206">
        <w:rPr>
          <w:rFonts w:ascii="Arial" w:hAnsi="Arial"/>
        </w:rPr>
        <w:t xml:space="preserve">require that </w:t>
      </w:r>
      <w:r w:rsidR="002010CE">
        <w:rPr>
          <w:rFonts w:ascii="Arial" w:hAnsi="Arial"/>
        </w:rPr>
        <w:t>Carone revise its</w:t>
      </w:r>
      <w:r w:rsidR="00B87206" w:rsidRPr="00B87206">
        <w:rPr>
          <w:rFonts w:ascii="Arial" w:hAnsi="Arial"/>
        </w:rPr>
        <w:t xml:space="preserve"> field Development and Production Plan (DPP) or </w:t>
      </w:r>
      <w:r w:rsidR="002010CE">
        <w:rPr>
          <w:rFonts w:ascii="Arial" w:hAnsi="Arial"/>
        </w:rPr>
        <w:t xml:space="preserve">submit </w:t>
      </w:r>
      <w:r w:rsidR="00B87206" w:rsidRPr="00B87206">
        <w:rPr>
          <w:rFonts w:ascii="Arial" w:hAnsi="Arial"/>
        </w:rPr>
        <w:t>an application for a Right of</w:t>
      </w:r>
      <w:r w:rsidR="0025774B">
        <w:rPr>
          <w:rFonts w:ascii="Arial" w:hAnsi="Arial"/>
        </w:rPr>
        <w:t xml:space="preserve"> Use and</w:t>
      </w:r>
      <w:r w:rsidR="00B87206" w:rsidRPr="00B87206">
        <w:rPr>
          <w:rFonts w:ascii="Arial" w:hAnsi="Arial"/>
        </w:rPr>
        <w:t xml:space="preserve"> Easement (RUE)</w:t>
      </w:r>
      <w:r w:rsidR="0025774B">
        <w:rPr>
          <w:rFonts w:ascii="Arial" w:hAnsi="Arial"/>
        </w:rPr>
        <w:t>.</w:t>
      </w:r>
      <w:r w:rsidR="00286483">
        <w:rPr>
          <w:rFonts w:ascii="Arial" w:hAnsi="Arial"/>
        </w:rPr>
        <w:t xml:space="preserve">  I</w:t>
      </w:r>
      <w:r w:rsidR="00B87206" w:rsidRPr="00B87206">
        <w:rPr>
          <w:rFonts w:ascii="Arial" w:hAnsi="Arial"/>
        </w:rPr>
        <w:t xml:space="preserve">n June 2005, </w:t>
      </w:r>
      <w:r w:rsidR="00286483">
        <w:rPr>
          <w:rFonts w:ascii="Arial" w:hAnsi="Arial"/>
        </w:rPr>
        <w:t>MMS reported to the staff, in response to staff’s inquiry,</w:t>
      </w:r>
      <w:r w:rsidR="00B87206" w:rsidRPr="00B87206">
        <w:rPr>
          <w:rFonts w:ascii="Arial" w:hAnsi="Arial"/>
        </w:rPr>
        <w:t xml:space="preserve"> that a revision to the Carpinteria Field DPP</w:t>
      </w:r>
      <w:r w:rsidR="00286483">
        <w:rPr>
          <w:rFonts w:ascii="Arial" w:hAnsi="Arial"/>
        </w:rPr>
        <w:t xml:space="preserve"> was the appropriate way for Carone to proceed and that Carone had not applied </w:t>
      </w:r>
      <w:r w:rsidR="004639F4">
        <w:rPr>
          <w:rFonts w:ascii="Arial" w:hAnsi="Arial"/>
        </w:rPr>
        <w:t>for</w:t>
      </w:r>
      <w:r w:rsidR="00286483">
        <w:rPr>
          <w:rFonts w:ascii="Arial" w:hAnsi="Arial"/>
        </w:rPr>
        <w:t xml:space="preserve"> such a revision</w:t>
      </w:r>
      <w:r w:rsidR="00B87206">
        <w:rPr>
          <w:rFonts w:ascii="Arial" w:hAnsi="Arial"/>
        </w:rPr>
        <w:t xml:space="preserve">.  </w:t>
      </w:r>
    </w:p>
    <w:p w:rsidR="00B87206" w:rsidRDefault="00B87206" w:rsidP="000C2AC0">
      <w:pPr>
        <w:tabs>
          <w:tab w:val="left" w:pos="-1440"/>
          <w:tab w:val="left" w:pos="-720"/>
          <w:tab w:val="left" w:pos="720"/>
          <w:tab w:val="left" w:pos="1320"/>
          <w:tab w:val="left" w:pos="4680"/>
          <w:tab w:val="left" w:pos="7560"/>
        </w:tabs>
        <w:ind w:left="720"/>
        <w:rPr>
          <w:rFonts w:ascii="Arial" w:hAnsi="Arial"/>
        </w:rPr>
      </w:pPr>
    </w:p>
    <w:p w:rsidR="00B87206" w:rsidRDefault="00B87206" w:rsidP="000C2AC0">
      <w:pPr>
        <w:tabs>
          <w:tab w:val="left" w:pos="-1440"/>
          <w:tab w:val="left" w:pos="-720"/>
          <w:tab w:val="left" w:pos="720"/>
          <w:tab w:val="left" w:pos="1320"/>
          <w:tab w:val="left" w:pos="4680"/>
          <w:tab w:val="left" w:pos="7560"/>
        </w:tabs>
        <w:ind w:left="720"/>
        <w:rPr>
          <w:rFonts w:ascii="Arial" w:hAnsi="Arial"/>
        </w:rPr>
      </w:pPr>
      <w:r w:rsidRPr="00B87206">
        <w:rPr>
          <w:rFonts w:ascii="Arial" w:hAnsi="Arial"/>
        </w:rPr>
        <w:t xml:space="preserve">A revision to the DPP </w:t>
      </w:r>
      <w:r w:rsidR="00C34865">
        <w:rPr>
          <w:rFonts w:ascii="Arial" w:hAnsi="Arial"/>
        </w:rPr>
        <w:t>would</w:t>
      </w:r>
      <w:r w:rsidRPr="00B87206">
        <w:rPr>
          <w:rFonts w:ascii="Arial" w:hAnsi="Arial"/>
        </w:rPr>
        <w:t xml:space="preserve"> also require that the platform </w:t>
      </w:r>
      <w:r w:rsidR="004639F4">
        <w:rPr>
          <w:rFonts w:ascii="Arial" w:hAnsi="Arial"/>
        </w:rPr>
        <w:t xml:space="preserve">from which the drilling would occur </w:t>
      </w:r>
      <w:r w:rsidRPr="00B87206">
        <w:rPr>
          <w:rFonts w:ascii="Arial" w:hAnsi="Arial"/>
        </w:rPr>
        <w:t xml:space="preserve">be “requalified” structurally to show that it can </w:t>
      </w:r>
      <w:r w:rsidR="004639F4">
        <w:rPr>
          <w:rFonts w:ascii="Arial" w:hAnsi="Arial"/>
        </w:rPr>
        <w:t xml:space="preserve">accommodate </w:t>
      </w:r>
      <w:r w:rsidRPr="00B87206">
        <w:rPr>
          <w:rFonts w:ascii="Arial" w:hAnsi="Arial"/>
        </w:rPr>
        <w:t>the drilling and production</w:t>
      </w:r>
      <w:r w:rsidR="004639F4">
        <w:rPr>
          <w:rFonts w:ascii="Arial" w:hAnsi="Arial"/>
        </w:rPr>
        <w:t xml:space="preserve"> operations </w:t>
      </w:r>
      <w:r w:rsidRPr="00B87206">
        <w:rPr>
          <w:rFonts w:ascii="Arial" w:hAnsi="Arial"/>
        </w:rPr>
        <w:t>over the</w:t>
      </w:r>
      <w:r w:rsidR="004639F4">
        <w:rPr>
          <w:rFonts w:ascii="Arial" w:hAnsi="Arial"/>
        </w:rPr>
        <w:t>ir</w:t>
      </w:r>
      <w:r w:rsidRPr="00B87206">
        <w:rPr>
          <w:rFonts w:ascii="Arial" w:hAnsi="Arial"/>
        </w:rPr>
        <w:t xml:space="preserve"> estimated life.  The </w:t>
      </w:r>
      <w:r w:rsidR="00582167">
        <w:rPr>
          <w:rFonts w:ascii="Arial" w:hAnsi="Arial"/>
        </w:rPr>
        <w:t>S</w:t>
      </w:r>
      <w:r w:rsidRPr="00B87206">
        <w:rPr>
          <w:rFonts w:ascii="Arial" w:hAnsi="Arial"/>
        </w:rPr>
        <w:t>tate also requires that any new project from a platform analyze the structure</w:t>
      </w:r>
      <w:r w:rsidR="004639F4">
        <w:rPr>
          <w:rFonts w:ascii="Arial" w:hAnsi="Arial"/>
        </w:rPr>
        <w:t>’s ability to withstand</w:t>
      </w:r>
      <w:r w:rsidR="00B106B6">
        <w:rPr>
          <w:rFonts w:ascii="Arial" w:hAnsi="Arial"/>
        </w:rPr>
        <w:t xml:space="preserve"> a 1000 year seismic event.</w:t>
      </w:r>
      <w:r w:rsidRPr="00B87206">
        <w:rPr>
          <w:rFonts w:ascii="Arial" w:hAnsi="Arial"/>
        </w:rPr>
        <w:t xml:space="preserve"> </w:t>
      </w:r>
      <w:r>
        <w:rPr>
          <w:rFonts w:ascii="Arial" w:hAnsi="Arial"/>
        </w:rPr>
        <w:t xml:space="preserve"> </w:t>
      </w:r>
      <w:r w:rsidR="00766A5F">
        <w:rPr>
          <w:rFonts w:ascii="Arial" w:hAnsi="Arial"/>
        </w:rPr>
        <w:t>At</w:t>
      </w:r>
      <w:r w:rsidRPr="00B87206">
        <w:rPr>
          <w:rFonts w:ascii="Arial" w:hAnsi="Arial"/>
        </w:rPr>
        <w:t xml:space="preserve"> a </w:t>
      </w:r>
      <w:r>
        <w:rPr>
          <w:rFonts w:ascii="Arial" w:hAnsi="Arial"/>
        </w:rPr>
        <w:t xml:space="preserve">January </w:t>
      </w:r>
      <w:r w:rsidRPr="00B87206">
        <w:rPr>
          <w:rFonts w:ascii="Arial" w:hAnsi="Arial"/>
        </w:rPr>
        <w:t>2007 meeting with staff</w:t>
      </w:r>
      <w:r w:rsidR="00C34865">
        <w:rPr>
          <w:rFonts w:ascii="Arial" w:hAnsi="Arial"/>
        </w:rPr>
        <w:t>,</w:t>
      </w:r>
      <w:r w:rsidRPr="00B87206">
        <w:rPr>
          <w:rFonts w:ascii="Arial" w:hAnsi="Arial"/>
        </w:rPr>
        <w:t xml:space="preserve"> and </w:t>
      </w:r>
      <w:r w:rsidR="00766A5F">
        <w:rPr>
          <w:rFonts w:ascii="Arial" w:hAnsi="Arial"/>
        </w:rPr>
        <w:t>also in</w:t>
      </w:r>
      <w:r w:rsidR="000C4AA7">
        <w:rPr>
          <w:rFonts w:ascii="Arial" w:hAnsi="Arial"/>
        </w:rPr>
        <w:t xml:space="preserve"> a</w:t>
      </w:r>
      <w:r w:rsidR="00766A5F">
        <w:rPr>
          <w:rFonts w:ascii="Arial" w:hAnsi="Arial"/>
        </w:rPr>
        <w:t xml:space="preserve"> </w:t>
      </w:r>
      <w:r w:rsidRPr="00B87206">
        <w:rPr>
          <w:rFonts w:ascii="Arial" w:hAnsi="Arial"/>
        </w:rPr>
        <w:t>follow up letter to staff</w:t>
      </w:r>
      <w:r>
        <w:rPr>
          <w:rFonts w:ascii="Arial" w:hAnsi="Arial"/>
        </w:rPr>
        <w:t>,</w:t>
      </w:r>
      <w:r w:rsidRPr="00B87206">
        <w:rPr>
          <w:rFonts w:ascii="Arial" w:hAnsi="Arial"/>
        </w:rPr>
        <w:t xml:space="preserve"> </w:t>
      </w:r>
      <w:r>
        <w:rPr>
          <w:rFonts w:ascii="Arial" w:hAnsi="Arial"/>
        </w:rPr>
        <w:t xml:space="preserve">Carone </w:t>
      </w:r>
      <w:r w:rsidR="0025774B">
        <w:rPr>
          <w:rFonts w:ascii="Arial" w:hAnsi="Arial"/>
        </w:rPr>
        <w:t>stated</w:t>
      </w:r>
      <w:r w:rsidRPr="00B87206">
        <w:rPr>
          <w:rFonts w:ascii="Arial" w:hAnsi="Arial"/>
        </w:rPr>
        <w:t xml:space="preserve"> that </w:t>
      </w:r>
      <w:r w:rsidR="00766A5F">
        <w:rPr>
          <w:rFonts w:ascii="Arial" w:hAnsi="Arial"/>
        </w:rPr>
        <w:t>it</w:t>
      </w:r>
      <w:r w:rsidRPr="00B87206">
        <w:rPr>
          <w:rFonts w:ascii="Arial" w:hAnsi="Arial"/>
        </w:rPr>
        <w:t xml:space="preserve"> had not</w:t>
      </w:r>
      <w:r w:rsidR="004D3E5A">
        <w:rPr>
          <w:rFonts w:ascii="Arial" w:hAnsi="Arial"/>
        </w:rPr>
        <w:t xml:space="preserve"> yet</w:t>
      </w:r>
      <w:r w:rsidRPr="00B87206">
        <w:rPr>
          <w:rFonts w:ascii="Arial" w:hAnsi="Arial"/>
        </w:rPr>
        <w:t xml:space="preserve"> made application for a revised DPP, but would do so within 30</w:t>
      </w:r>
      <w:r w:rsidR="00FC6B99">
        <w:rPr>
          <w:rFonts w:ascii="Arial" w:hAnsi="Arial"/>
        </w:rPr>
        <w:t xml:space="preserve"> to </w:t>
      </w:r>
      <w:r w:rsidRPr="00B87206">
        <w:rPr>
          <w:rFonts w:ascii="Arial" w:hAnsi="Arial"/>
        </w:rPr>
        <w:t xml:space="preserve">45 days. In April 2007 in response to a staff request, the MMS informed staff that Carone </w:t>
      </w:r>
      <w:r w:rsidR="00766A5F">
        <w:rPr>
          <w:rFonts w:ascii="Arial" w:hAnsi="Arial"/>
        </w:rPr>
        <w:t xml:space="preserve">still </w:t>
      </w:r>
      <w:r w:rsidRPr="00B87206">
        <w:rPr>
          <w:rFonts w:ascii="Arial" w:hAnsi="Arial"/>
        </w:rPr>
        <w:t>had not made an applica</w:t>
      </w:r>
      <w:r>
        <w:rPr>
          <w:rFonts w:ascii="Arial" w:hAnsi="Arial"/>
        </w:rPr>
        <w:t>tion for a revised DPP</w:t>
      </w:r>
      <w:r w:rsidR="00766A5F">
        <w:rPr>
          <w:rFonts w:ascii="Arial" w:hAnsi="Arial"/>
        </w:rPr>
        <w:t xml:space="preserve"> or </w:t>
      </w:r>
      <w:r w:rsidR="00C34865">
        <w:rPr>
          <w:rFonts w:ascii="Arial" w:hAnsi="Arial"/>
        </w:rPr>
        <w:t xml:space="preserve">a RUE to </w:t>
      </w:r>
      <w:r w:rsidR="004D3E5A">
        <w:rPr>
          <w:rFonts w:ascii="Arial" w:hAnsi="Arial"/>
        </w:rPr>
        <w:t>obtain</w:t>
      </w:r>
      <w:r w:rsidR="00766A5F">
        <w:rPr>
          <w:rFonts w:ascii="Arial" w:hAnsi="Arial"/>
        </w:rPr>
        <w:t xml:space="preserve"> authorization to use Platform Hogan</w:t>
      </w:r>
      <w:r w:rsidR="00C34865">
        <w:rPr>
          <w:rFonts w:ascii="Arial" w:hAnsi="Arial"/>
        </w:rPr>
        <w:t>.</w:t>
      </w:r>
      <w:r w:rsidR="00766A5F">
        <w:rPr>
          <w:rFonts w:ascii="Arial" w:hAnsi="Arial"/>
        </w:rPr>
        <w:t xml:space="preserve"> </w:t>
      </w:r>
      <w:r w:rsidRPr="00B87206">
        <w:rPr>
          <w:rFonts w:ascii="Arial" w:hAnsi="Arial"/>
        </w:rPr>
        <w:t xml:space="preserve"> In July 2007</w:t>
      </w:r>
      <w:r w:rsidR="00766A5F">
        <w:rPr>
          <w:rFonts w:ascii="Arial" w:hAnsi="Arial"/>
        </w:rPr>
        <w:t>,</w:t>
      </w:r>
      <w:r w:rsidRPr="00B87206">
        <w:rPr>
          <w:rFonts w:ascii="Arial" w:hAnsi="Arial"/>
        </w:rPr>
        <w:t xml:space="preserve"> Carone sent staff another letter stating that </w:t>
      </w:r>
      <w:r w:rsidR="00766A5F">
        <w:rPr>
          <w:rFonts w:ascii="Arial" w:hAnsi="Arial"/>
        </w:rPr>
        <w:t>it was</w:t>
      </w:r>
      <w:r w:rsidRPr="00B87206">
        <w:rPr>
          <w:rFonts w:ascii="Arial" w:hAnsi="Arial"/>
        </w:rPr>
        <w:t xml:space="preserve"> still planning</w:t>
      </w:r>
      <w:r w:rsidR="00766A5F">
        <w:rPr>
          <w:rFonts w:ascii="Arial" w:hAnsi="Arial"/>
        </w:rPr>
        <w:t xml:space="preserve"> to</w:t>
      </w:r>
      <w:r w:rsidRPr="00B87206">
        <w:rPr>
          <w:rFonts w:ascii="Arial" w:hAnsi="Arial"/>
        </w:rPr>
        <w:t xml:space="preserve"> submit a revised DPP.  </w:t>
      </w:r>
      <w:r w:rsidR="00395581">
        <w:rPr>
          <w:rFonts w:ascii="Arial" w:hAnsi="Arial"/>
        </w:rPr>
        <w:t>T</w:t>
      </w:r>
      <w:r w:rsidR="00000E45">
        <w:rPr>
          <w:rFonts w:ascii="Arial" w:hAnsi="Arial"/>
        </w:rPr>
        <w:t>he</w:t>
      </w:r>
      <w:r w:rsidR="00766A5F">
        <w:rPr>
          <w:rFonts w:ascii="Arial" w:hAnsi="Arial"/>
        </w:rPr>
        <w:t xml:space="preserve"> MMS </w:t>
      </w:r>
      <w:r w:rsidR="00000E45">
        <w:rPr>
          <w:rFonts w:ascii="Arial" w:hAnsi="Arial"/>
        </w:rPr>
        <w:t>informed staff</w:t>
      </w:r>
      <w:r w:rsidR="00395581">
        <w:rPr>
          <w:rFonts w:ascii="Arial" w:hAnsi="Arial"/>
        </w:rPr>
        <w:t>, in January 2008,</w:t>
      </w:r>
      <w:r w:rsidR="00000E45">
        <w:rPr>
          <w:rFonts w:ascii="Arial" w:hAnsi="Arial"/>
        </w:rPr>
        <w:t xml:space="preserve"> that Carone had </w:t>
      </w:r>
      <w:r w:rsidR="00E35AFF">
        <w:rPr>
          <w:rFonts w:ascii="Arial" w:hAnsi="Arial"/>
        </w:rPr>
        <w:t xml:space="preserve">submitted an application for </w:t>
      </w:r>
      <w:proofErr w:type="gramStart"/>
      <w:r w:rsidR="00E35AFF">
        <w:rPr>
          <w:rFonts w:ascii="Arial" w:hAnsi="Arial"/>
        </w:rPr>
        <w:t>a</w:t>
      </w:r>
      <w:r w:rsidR="00000E45">
        <w:rPr>
          <w:rFonts w:ascii="Arial" w:hAnsi="Arial"/>
        </w:rPr>
        <w:t xml:space="preserve"> RUE</w:t>
      </w:r>
      <w:proofErr w:type="gramEnd"/>
      <w:r w:rsidR="00000E45">
        <w:rPr>
          <w:rFonts w:ascii="Arial" w:hAnsi="Arial"/>
        </w:rPr>
        <w:t>.  In February 2008</w:t>
      </w:r>
      <w:r w:rsidR="00395581">
        <w:rPr>
          <w:rFonts w:ascii="Arial" w:hAnsi="Arial"/>
        </w:rPr>
        <w:t>,</w:t>
      </w:r>
      <w:r w:rsidR="00000E45">
        <w:rPr>
          <w:rFonts w:ascii="Arial" w:hAnsi="Arial"/>
        </w:rPr>
        <w:t xml:space="preserve"> the MMS sent a letter to Carone regarding deficiencies in </w:t>
      </w:r>
      <w:r w:rsidR="003F7221">
        <w:rPr>
          <w:rFonts w:ascii="Arial" w:hAnsi="Arial"/>
        </w:rPr>
        <w:t>its application</w:t>
      </w:r>
      <w:r w:rsidR="00000E45">
        <w:rPr>
          <w:rFonts w:ascii="Arial" w:hAnsi="Arial"/>
        </w:rPr>
        <w:t xml:space="preserve"> (equivalent to a staff “incomplete” letter) and requested more information from Carone.  As of March 2009</w:t>
      </w:r>
      <w:r w:rsidR="000C4AA7">
        <w:rPr>
          <w:rFonts w:ascii="Arial" w:hAnsi="Arial"/>
        </w:rPr>
        <w:t>,</w:t>
      </w:r>
      <w:r w:rsidR="00000E45">
        <w:rPr>
          <w:rFonts w:ascii="Arial" w:hAnsi="Arial"/>
        </w:rPr>
        <w:t xml:space="preserve"> Carone had still not corrected the</w:t>
      </w:r>
      <w:r w:rsidR="00685872">
        <w:rPr>
          <w:rFonts w:ascii="Arial" w:hAnsi="Arial"/>
        </w:rPr>
        <w:t xml:space="preserve"> application</w:t>
      </w:r>
      <w:r w:rsidR="00000E45">
        <w:rPr>
          <w:rFonts w:ascii="Arial" w:hAnsi="Arial"/>
        </w:rPr>
        <w:t xml:space="preserve"> deficiencies identified by the MMS staff</w:t>
      </w:r>
      <w:r w:rsidR="00E35AFF">
        <w:rPr>
          <w:rFonts w:ascii="Arial" w:hAnsi="Arial"/>
        </w:rPr>
        <w:t>,</w:t>
      </w:r>
      <w:r w:rsidR="00000E45">
        <w:rPr>
          <w:rFonts w:ascii="Arial" w:hAnsi="Arial"/>
        </w:rPr>
        <w:t xml:space="preserve"> nor</w:t>
      </w:r>
      <w:r w:rsidR="00E35AFF">
        <w:rPr>
          <w:rFonts w:ascii="Arial" w:hAnsi="Arial"/>
        </w:rPr>
        <w:t xml:space="preserve"> had it</w:t>
      </w:r>
      <w:r w:rsidR="00000E45">
        <w:rPr>
          <w:rFonts w:ascii="Arial" w:hAnsi="Arial"/>
        </w:rPr>
        <w:t xml:space="preserve"> submitted any additional information or</w:t>
      </w:r>
      <w:r w:rsidR="00B106B6">
        <w:rPr>
          <w:rFonts w:ascii="Arial" w:hAnsi="Arial"/>
        </w:rPr>
        <w:t xml:space="preserve"> otherwise</w:t>
      </w:r>
      <w:r w:rsidR="00000E45">
        <w:rPr>
          <w:rFonts w:ascii="Arial" w:hAnsi="Arial"/>
        </w:rPr>
        <w:t xml:space="preserve"> responded to the </w:t>
      </w:r>
      <w:r w:rsidR="00685872">
        <w:rPr>
          <w:rFonts w:ascii="Arial" w:hAnsi="Arial"/>
        </w:rPr>
        <w:t xml:space="preserve">MMS </w:t>
      </w:r>
      <w:r w:rsidR="00000E45">
        <w:rPr>
          <w:rFonts w:ascii="Arial" w:hAnsi="Arial"/>
        </w:rPr>
        <w:t xml:space="preserve">request.  </w:t>
      </w:r>
      <w:r w:rsidR="00E35AFF">
        <w:rPr>
          <w:rFonts w:ascii="Arial" w:hAnsi="Arial"/>
        </w:rPr>
        <w:t xml:space="preserve">The MMS </w:t>
      </w:r>
      <w:r w:rsidR="00000E45">
        <w:rPr>
          <w:rFonts w:ascii="Arial" w:hAnsi="Arial"/>
        </w:rPr>
        <w:t>also determined that a</w:t>
      </w:r>
      <w:r w:rsidRPr="00B87206">
        <w:rPr>
          <w:rFonts w:ascii="Arial" w:hAnsi="Arial"/>
        </w:rPr>
        <w:t xml:space="preserve"> structural requalification of Platform Hogan</w:t>
      </w:r>
      <w:r w:rsidR="00000E45">
        <w:rPr>
          <w:rFonts w:ascii="Arial" w:hAnsi="Arial"/>
        </w:rPr>
        <w:t xml:space="preserve"> would be required</w:t>
      </w:r>
      <w:r w:rsidR="00685872">
        <w:rPr>
          <w:rFonts w:ascii="Arial" w:hAnsi="Arial"/>
        </w:rPr>
        <w:t xml:space="preserve"> </w:t>
      </w:r>
      <w:r w:rsidR="00E35AFF">
        <w:rPr>
          <w:rFonts w:ascii="Arial" w:hAnsi="Arial"/>
        </w:rPr>
        <w:t xml:space="preserve">and has </w:t>
      </w:r>
      <w:r w:rsidR="00000E45">
        <w:rPr>
          <w:rFonts w:ascii="Arial" w:hAnsi="Arial"/>
        </w:rPr>
        <w:t>informed staff</w:t>
      </w:r>
      <w:r w:rsidR="00C34865">
        <w:rPr>
          <w:rFonts w:ascii="Arial" w:hAnsi="Arial"/>
        </w:rPr>
        <w:t xml:space="preserve"> that it</w:t>
      </w:r>
      <w:r w:rsidRPr="00B87206">
        <w:rPr>
          <w:rFonts w:ascii="Arial" w:hAnsi="Arial"/>
        </w:rPr>
        <w:t xml:space="preserve"> </w:t>
      </w:r>
      <w:r w:rsidRPr="00B87206">
        <w:rPr>
          <w:rFonts w:ascii="Arial" w:hAnsi="Arial"/>
        </w:rPr>
        <w:lastRenderedPageBreak/>
        <w:t>ha</w:t>
      </w:r>
      <w:r w:rsidR="00E35AFF">
        <w:rPr>
          <w:rFonts w:ascii="Arial" w:hAnsi="Arial"/>
        </w:rPr>
        <w:t>s</w:t>
      </w:r>
      <w:r w:rsidRPr="00B87206">
        <w:rPr>
          <w:rFonts w:ascii="Arial" w:hAnsi="Arial"/>
        </w:rPr>
        <w:t xml:space="preserve"> not </w:t>
      </w:r>
      <w:r w:rsidR="00B106B6">
        <w:rPr>
          <w:rFonts w:ascii="Arial" w:hAnsi="Arial"/>
        </w:rPr>
        <w:t xml:space="preserve">yet </w:t>
      </w:r>
      <w:r w:rsidRPr="00B87206">
        <w:rPr>
          <w:rFonts w:ascii="Arial" w:hAnsi="Arial"/>
        </w:rPr>
        <w:t xml:space="preserve">received a response from Carone </w:t>
      </w:r>
      <w:r w:rsidR="00E35AFF">
        <w:rPr>
          <w:rFonts w:ascii="Arial" w:hAnsi="Arial"/>
        </w:rPr>
        <w:t xml:space="preserve">regarding the </w:t>
      </w:r>
      <w:r w:rsidR="00EC0D17">
        <w:rPr>
          <w:rFonts w:ascii="Arial" w:hAnsi="Arial"/>
        </w:rPr>
        <w:t>requalification</w:t>
      </w:r>
      <w:r w:rsidR="00000E45">
        <w:rPr>
          <w:rFonts w:ascii="Arial" w:hAnsi="Arial"/>
        </w:rPr>
        <w:t xml:space="preserve"> of Platform Hogan</w:t>
      </w:r>
      <w:r w:rsidR="00952DF9">
        <w:rPr>
          <w:rFonts w:ascii="Arial" w:hAnsi="Arial"/>
        </w:rPr>
        <w:t xml:space="preserve"> (which became part of staff’s demands discussed below)</w:t>
      </w:r>
      <w:r w:rsidRPr="00B87206">
        <w:rPr>
          <w:rFonts w:ascii="Arial" w:hAnsi="Arial"/>
        </w:rPr>
        <w:t>.</w:t>
      </w:r>
      <w:r>
        <w:rPr>
          <w:rFonts w:ascii="Arial" w:hAnsi="Arial"/>
        </w:rPr>
        <w:t xml:space="preserve"> </w:t>
      </w:r>
      <w:r w:rsidR="00685872">
        <w:rPr>
          <w:rFonts w:ascii="Arial" w:hAnsi="Arial"/>
        </w:rPr>
        <w:t xml:space="preserve">  </w:t>
      </w:r>
      <w:r>
        <w:rPr>
          <w:rFonts w:ascii="Arial" w:hAnsi="Arial"/>
        </w:rPr>
        <w:t>Carone has</w:t>
      </w:r>
      <w:r w:rsidR="00C34865">
        <w:rPr>
          <w:rFonts w:ascii="Arial" w:hAnsi="Arial"/>
        </w:rPr>
        <w:t xml:space="preserve"> informed staff that it</w:t>
      </w:r>
      <w:r w:rsidR="00685872">
        <w:rPr>
          <w:rFonts w:ascii="Arial" w:hAnsi="Arial"/>
        </w:rPr>
        <w:t xml:space="preserve"> has</w:t>
      </w:r>
      <w:r>
        <w:rPr>
          <w:rFonts w:ascii="Arial" w:hAnsi="Arial"/>
        </w:rPr>
        <w:t xml:space="preserve"> requalified </w:t>
      </w:r>
      <w:r w:rsidR="0044142A">
        <w:rPr>
          <w:rFonts w:ascii="Arial" w:hAnsi="Arial"/>
        </w:rPr>
        <w:t>its</w:t>
      </w:r>
      <w:r>
        <w:rPr>
          <w:rFonts w:ascii="Arial" w:hAnsi="Arial"/>
        </w:rPr>
        <w:t xml:space="preserve"> other nearby federal platform</w:t>
      </w:r>
      <w:r w:rsidR="0044142A">
        <w:rPr>
          <w:rFonts w:ascii="Arial" w:hAnsi="Arial"/>
        </w:rPr>
        <w:t>, Platform</w:t>
      </w:r>
      <w:r>
        <w:rPr>
          <w:rFonts w:ascii="Arial" w:hAnsi="Arial"/>
        </w:rPr>
        <w:t xml:space="preserve"> Houchin, and claim</w:t>
      </w:r>
      <w:r w:rsidR="0044142A">
        <w:rPr>
          <w:rFonts w:ascii="Arial" w:hAnsi="Arial"/>
        </w:rPr>
        <w:t>s</w:t>
      </w:r>
      <w:r>
        <w:rPr>
          <w:rFonts w:ascii="Arial" w:hAnsi="Arial"/>
        </w:rPr>
        <w:t xml:space="preserve"> that it </w:t>
      </w:r>
      <w:r w:rsidR="00685872">
        <w:rPr>
          <w:rFonts w:ascii="Arial" w:hAnsi="Arial"/>
        </w:rPr>
        <w:t>should</w:t>
      </w:r>
      <w:r>
        <w:rPr>
          <w:rFonts w:ascii="Arial" w:hAnsi="Arial"/>
        </w:rPr>
        <w:t xml:space="preserve"> </w:t>
      </w:r>
      <w:r w:rsidR="0044142A">
        <w:rPr>
          <w:rFonts w:ascii="Arial" w:hAnsi="Arial"/>
        </w:rPr>
        <w:t>take a very short time</w:t>
      </w:r>
      <w:r>
        <w:rPr>
          <w:rFonts w:ascii="Arial" w:hAnsi="Arial"/>
        </w:rPr>
        <w:t xml:space="preserve"> to requalify Platform Hogan because of </w:t>
      </w:r>
      <w:r w:rsidR="0044142A">
        <w:rPr>
          <w:rFonts w:ascii="Arial" w:hAnsi="Arial"/>
        </w:rPr>
        <w:t>its</w:t>
      </w:r>
      <w:r>
        <w:rPr>
          <w:rFonts w:ascii="Arial" w:hAnsi="Arial"/>
        </w:rPr>
        <w:t xml:space="preserve"> similarities </w:t>
      </w:r>
      <w:r w:rsidR="0044142A">
        <w:rPr>
          <w:rFonts w:ascii="Arial" w:hAnsi="Arial"/>
        </w:rPr>
        <w:t>with Platform Houchin.  Based on its information from Carone, staff believes that the</w:t>
      </w:r>
      <w:r>
        <w:rPr>
          <w:rFonts w:ascii="Arial" w:hAnsi="Arial"/>
        </w:rPr>
        <w:t xml:space="preserve"> requalification </w:t>
      </w:r>
      <w:r w:rsidR="0044142A">
        <w:rPr>
          <w:rFonts w:ascii="Arial" w:hAnsi="Arial"/>
        </w:rPr>
        <w:t xml:space="preserve">of Platform Hogan </w:t>
      </w:r>
      <w:r>
        <w:rPr>
          <w:rFonts w:ascii="Arial" w:hAnsi="Arial"/>
        </w:rPr>
        <w:t xml:space="preserve">has </w:t>
      </w:r>
      <w:r w:rsidR="0044142A">
        <w:rPr>
          <w:rFonts w:ascii="Arial" w:hAnsi="Arial"/>
        </w:rPr>
        <w:t xml:space="preserve">not </w:t>
      </w:r>
      <w:r w:rsidR="00B106B6">
        <w:rPr>
          <w:rFonts w:ascii="Arial" w:hAnsi="Arial"/>
        </w:rPr>
        <w:t xml:space="preserve">been </w:t>
      </w:r>
      <w:r w:rsidR="00395581">
        <w:rPr>
          <w:rFonts w:ascii="Arial" w:hAnsi="Arial"/>
        </w:rPr>
        <w:t>accomplished</w:t>
      </w:r>
      <w:r>
        <w:rPr>
          <w:rFonts w:ascii="Arial" w:hAnsi="Arial"/>
        </w:rPr>
        <w:t xml:space="preserve"> because of </w:t>
      </w:r>
      <w:r w:rsidR="00257496">
        <w:rPr>
          <w:rFonts w:ascii="Arial" w:hAnsi="Arial"/>
        </w:rPr>
        <w:t xml:space="preserve">Carone’s </w:t>
      </w:r>
      <w:r w:rsidR="004D3E5A">
        <w:rPr>
          <w:rFonts w:ascii="Arial" w:hAnsi="Arial"/>
        </w:rPr>
        <w:t xml:space="preserve">inability to obtain financing. </w:t>
      </w:r>
    </w:p>
    <w:p w:rsidR="00B87206" w:rsidRDefault="00B87206" w:rsidP="000C2AC0">
      <w:pPr>
        <w:tabs>
          <w:tab w:val="left" w:pos="-1440"/>
          <w:tab w:val="left" w:pos="-720"/>
          <w:tab w:val="left" w:pos="720"/>
          <w:tab w:val="left" w:pos="1320"/>
          <w:tab w:val="left" w:pos="4680"/>
          <w:tab w:val="left" w:pos="7560"/>
        </w:tabs>
        <w:ind w:left="720"/>
        <w:rPr>
          <w:rFonts w:ascii="Arial" w:hAnsi="Arial"/>
        </w:rPr>
      </w:pPr>
    </w:p>
    <w:p w:rsidR="00561641" w:rsidRDefault="00973E15" w:rsidP="000C2AC0">
      <w:pPr>
        <w:tabs>
          <w:tab w:val="left" w:pos="-1440"/>
          <w:tab w:val="left" w:pos="-720"/>
          <w:tab w:val="left" w:pos="720"/>
          <w:tab w:val="left" w:pos="1320"/>
          <w:tab w:val="left" w:pos="4680"/>
          <w:tab w:val="left" w:pos="7560"/>
        </w:tabs>
        <w:ind w:left="720"/>
        <w:rPr>
          <w:rFonts w:ascii="Arial" w:hAnsi="Arial"/>
        </w:rPr>
      </w:pPr>
      <w:r>
        <w:rPr>
          <w:rFonts w:ascii="Arial" w:hAnsi="Arial"/>
        </w:rPr>
        <w:t>A</w:t>
      </w:r>
      <w:r w:rsidR="00B87206" w:rsidRPr="00B87206">
        <w:rPr>
          <w:rFonts w:ascii="Arial" w:hAnsi="Arial"/>
        </w:rPr>
        <w:t>t this time, three</w:t>
      </w:r>
      <w:r w:rsidR="00B87206">
        <w:rPr>
          <w:rFonts w:ascii="Arial" w:hAnsi="Arial"/>
        </w:rPr>
        <w:t xml:space="preserve"> and a half</w:t>
      </w:r>
      <w:r w:rsidR="00B87206" w:rsidRPr="00B87206">
        <w:rPr>
          <w:rFonts w:ascii="Arial" w:hAnsi="Arial"/>
        </w:rPr>
        <w:t xml:space="preserve"> years after staff’s first inquiry</w:t>
      </w:r>
      <w:r>
        <w:rPr>
          <w:rFonts w:ascii="Arial" w:hAnsi="Arial"/>
        </w:rPr>
        <w:t xml:space="preserve"> regarding Carone’s securing MMS approval for using Platform Hogan to drill into and produce its state leases</w:t>
      </w:r>
      <w:r w:rsidR="00B87206" w:rsidRPr="00B87206">
        <w:rPr>
          <w:rFonts w:ascii="Arial" w:hAnsi="Arial"/>
        </w:rPr>
        <w:t xml:space="preserve">, </w:t>
      </w:r>
      <w:r w:rsidR="00980C71">
        <w:rPr>
          <w:rFonts w:ascii="Arial" w:hAnsi="Arial"/>
        </w:rPr>
        <w:t>seven years after requests for a complete structural integrity analysis</w:t>
      </w:r>
      <w:r w:rsidR="004D3E5A">
        <w:rPr>
          <w:rFonts w:ascii="Arial" w:hAnsi="Arial"/>
        </w:rPr>
        <w:t xml:space="preserve"> of the platform</w:t>
      </w:r>
      <w:r w:rsidR="00980C71">
        <w:rPr>
          <w:rFonts w:ascii="Arial" w:hAnsi="Arial"/>
        </w:rPr>
        <w:t>, eight years</w:t>
      </w:r>
      <w:r w:rsidR="00B87206" w:rsidRPr="00B87206">
        <w:rPr>
          <w:rFonts w:ascii="Arial" w:hAnsi="Arial"/>
        </w:rPr>
        <w:t xml:space="preserve"> after initiation of processing of </w:t>
      </w:r>
      <w:r>
        <w:rPr>
          <w:rFonts w:ascii="Arial" w:hAnsi="Arial"/>
        </w:rPr>
        <w:t xml:space="preserve">its completed </w:t>
      </w:r>
      <w:r w:rsidR="00B87206" w:rsidRPr="00B87206">
        <w:rPr>
          <w:rFonts w:ascii="Arial" w:hAnsi="Arial"/>
        </w:rPr>
        <w:t xml:space="preserve">application </w:t>
      </w:r>
      <w:r>
        <w:rPr>
          <w:rFonts w:ascii="Arial" w:hAnsi="Arial"/>
        </w:rPr>
        <w:t xml:space="preserve">for Commission approval </w:t>
      </w:r>
      <w:r w:rsidR="00B87206" w:rsidRPr="00B87206">
        <w:rPr>
          <w:rFonts w:ascii="Arial" w:hAnsi="Arial"/>
        </w:rPr>
        <w:t>of the project,</w:t>
      </w:r>
      <w:r w:rsidR="00980C71">
        <w:rPr>
          <w:rFonts w:ascii="Arial" w:hAnsi="Arial"/>
        </w:rPr>
        <w:t xml:space="preserve"> and</w:t>
      </w:r>
      <w:r w:rsidR="000C4AA7">
        <w:rPr>
          <w:rFonts w:ascii="Arial" w:hAnsi="Arial"/>
        </w:rPr>
        <w:t xml:space="preserve"> almost </w:t>
      </w:r>
      <w:r w:rsidR="00980C71">
        <w:rPr>
          <w:rFonts w:ascii="Arial" w:hAnsi="Arial"/>
        </w:rPr>
        <w:t>th</w:t>
      </w:r>
      <w:r w:rsidR="00675009">
        <w:rPr>
          <w:rFonts w:ascii="Arial" w:hAnsi="Arial"/>
        </w:rPr>
        <w:t>i</w:t>
      </w:r>
      <w:r w:rsidR="00980C71">
        <w:rPr>
          <w:rFonts w:ascii="Arial" w:hAnsi="Arial"/>
        </w:rPr>
        <w:t>rteen years after the Commission conditionally approved the assignment</w:t>
      </w:r>
      <w:r w:rsidR="00395581">
        <w:rPr>
          <w:rFonts w:ascii="Arial" w:hAnsi="Arial"/>
        </w:rPr>
        <w:t>,</w:t>
      </w:r>
      <w:r w:rsidR="00B87206" w:rsidRPr="00B87206">
        <w:rPr>
          <w:rFonts w:ascii="Arial" w:hAnsi="Arial"/>
        </w:rPr>
        <w:t xml:space="preserve"> </w:t>
      </w:r>
      <w:r>
        <w:rPr>
          <w:rFonts w:ascii="Arial" w:hAnsi="Arial"/>
        </w:rPr>
        <w:t xml:space="preserve">Carone has failed to secure </w:t>
      </w:r>
      <w:r w:rsidR="00561641">
        <w:rPr>
          <w:rFonts w:ascii="Arial" w:hAnsi="Arial"/>
        </w:rPr>
        <w:t xml:space="preserve">both </w:t>
      </w:r>
      <w:r>
        <w:rPr>
          <w:rFonts w:ascii="Arial" w:hAnsi="Arial"/>
        </w:rPr>
        <w:t xml:space="preserve">the required approvals from </w:t>
      </w:r>
      <w:r w:rsidR="00B87206" w:rsidRPr="00B87206">
        <w:rPr>
          <w:rFonts w:ascii="Arial" w:hAnsi="Arial"/>
        </w:rPr>
        <w:t>the MMS</w:t>
      </w:r>
      <w:r w:rsidR="00561641">
        <w:rPr>
          <w:rFonts w:ascii="Arial" w:hAnsi="Arial"/>
        </w:rPr>
        <w:t xml:space="preserve"> and</w:t>
      </w:r>
      <w:r w:rsidR="00B87206" w:rsidRPr="00B87206">
        <w:rPr>
          <w:rFonts w:ascii="Arial" w:hAnsi="Arial"/>
        </w:rPr>
        <w:t xml:space="preserve"> the required structural requalification of </w:t>
      </w:r>
      <w:r w:rsidR="00561641">
        <w:rPr>
          <w:rFonts w:ascii="Arial" w:hAnsi="Arial"/>
        </w:rPr>
        <w:t>P</w:t>
      </w:r>
      <w:r w:rsidR="00B87206" w:rsidRPr="00B87206">
        <w:rPr>
          <w:rFonts w:ascii="Arial" w:hAnsi="Arial"/>
        </w:rPr>
        <w:t xml:space="preserve">latform </w:t>
      </w:r>
      <w:r w:rsidR="00561641">
        <w:rPr>
          <w:rFonts w:ascii="Arial" w:hAnsi="Arial"/>
        </w:rPr>
        <w:t>Hogan</w:t>
      </w:r>
      <w:r w:rsidR="00FF31B0">
        <w:rPr>
          <w:rFonts w:ascii="Arial" w:hAnsi="Arial"/>
        </w:rPr>
        <w:t>.</w:t>
      </w:r>
    </w:p>
    <w:p w:rsidR="00561641" w:rsidRDefault="00561641" w:rsidP="000C2AC0">
      <w:pPr>
        <w:tabs>
          <w:tab w:val="left" w:pos="-1440"/>
          <w:tab w:val="left" w:pos="-720"/>
          <w:tab w:val="left" w:pos="720"/>
          <w:tab w:val="left" w:pos="1320"/>
          <w:tab w:val="left" w:pos="4680"/>
          <w:tab w:val="left" w:pos="7560"/>
        </w:tabs>
        <w:ind w:left="720"/>
        <w:rPr>
          <w:rFonts w:ascii="Arial" w:hAnsi="Arial"/>
        </w:rPr>
      </w:pPr>
    </w:p>
    <w:p w:rsidR="00561641" w:rsidRDefault="00561641" w:rsidP="000C2AC0">
      <w:pPr>
        <w:tabs>
          <w:tab w:val="left" w:pos="-1440"/>
          <w:tab w:val="left" w:pos="-720"/>
          <w:tab w:val="left" w:pos="720"/>
          <w:tab w:val="left" w:pos="1320"/>
          <w:tab w:val="left" w:pos="4680"/>
          <w:tab w:val="left" w:pos="7560"/>
        </w:tabs>
        <w:ind w:left="720"/>
        <w:rPr>
          <w:rFonts w:ascii="Arial" w:hAnsi="Arial"/>
        </w:rPr>
      </w:pPr>
      <w:r>
        <w:rPr>
          <w:rFonts w:ascii="Arial" w:hAnsi="Arial"/>
          <w:b/>
        </w:rPr>
        <w:t>Recent Staff Demands that Carone has Failed to Complete</w:t>
      </w:r>
    </w:p>
    <w:p w:rsidR="00E828B1" w:rsidRDefault="00561641" w:rsidP="000C2AC0">
      <w:pPr>
        <w:tabs>
          <w:tab w:val="left" w:pos="-1440"/>
          <w:tab w:val="left" w:pos="-720"/>
          <w:tab w:val="left" w:pos="720"/>
          <w:tab w:val="left" w:pos="1320"/>
          <w:tab w:val="left" w:pos="4680"/>
          <w:tab w:val="left" w:pos="7560"/>
        </w:tabs>
        <w:ind w:left="720"/>
        <w:rPr>
          <w:rFonts w:ascii="Arial" w:hAnsi="Arial"/>
        </w:rPr>
      </w:pPr>
      <w:r>
        <w:rPr>
          <w:rFonts w:ascii="Arial" w:hAnsi="Arial"/>
        </w:rPr>
        <w:t>On September 30, 2008, staff wrote to Carone requesting three actions from Carone, all of which Carone would be capable of doing without the approval of other governmental agencies</w:t>
      </w:r>
      <w:r w:rsidR="00980C71">
        <w:rPr>
          <w:rFonts w:ascii="Arial" w:hAnsi="Arial"/>
        </w:rPr>
        <w:t xml:space="preserve">.  </w:t>
      </w:r>
      <w:r w:rsidR="004D3E5A">
        <w:rPr>
          <w:rFonts w:ascii="Arial" w:hAnsi="Arial"/>
        </w:rPr>
        <w:t>Compliance</w:t>
      </w:r>
      <w:r>
        <w:rPr>
          <w:rFonts w:ascii="Arial" w:hAnsi="Arial"/>
        </w:rPr>
        <w:t xml:space="preserve"> would require Carone to make a financial commitment to </w:t>
      </w:r>
      <w:r w:rsidR="00952DF9">
        <w:rPr>
          <w:rFonts w:ascii="Arial" w:hAnsi="Arial"/>
        </w:rPr>
        <w:t xml:space="preserve">diligently </w:t>
      </w:r>
      <w:r w:rsidR="007D1473">
        <w:rPr>
          <w:rFonts w:ascii="Arial" w:hAnsi="Arial"/>
        </w:rPr>
        <w:t>pursue</w:t>
      </w:r>
      <w:r>
        <w:rPr>
          <w:rFonts w:ascii="Arial" w:hAnsi="Arial"/>
        </w:rPr>
        <w:t xml:space="preserve"> the development project for State Oil and Gas Lease</w:t>
      </w:r>
      <w:r w:rsidR="00582167">
        <w:rPr>
          <w:rFonts w:ascii="Arial" w:hAnsi="Arial"/>
        </w:rPr>
        <w:t xml:space="preserve"> No</w:t>
      </w:r>
      <w:r>
        <w:rPr>
          <w:rFonts w:ascii="Arial" w:hAnsi="Arial"/>
        </w:rPr>
        <w:t>s</w:t>
      </w:r>
      <w:r w:rsidR="00582167">
        <w:rPr>
          <w:rFonts w:ascii="Arial" w:hAnsi="Arial"/>
        </w:rPr>
        <w:t>.</w:t>
      </w:r>
      <w:r>
        <w:rPr>
          <w:rFonts w:ascii="Arial" w:hAnsi="Arial"/>
        </w:rPr>
        <w:t xml:space="preserve"> </w:t>
      </w:r>
      <w:proofErr w:type="gramStart"/>
      <w:r>
        <w:rPr>
          <w:rFonts w:ascii="Arial" w:hAnsi="Arial"/>
        </w:rPr>
        <w:t>PRC 4000</w:t>
      </w:r>
      <w:r w:rsidR="00582167">
        <w:rPr>
          <w:rFonts w:ascii="Arial" w:hAnsi="Arial"/>
        </w:rPr>
        <w:t>.1</w:t>
      </w:r>
      <w:r>
        <w:rPr>
          <w:rFonts w:ascii="Arial" w:hAnsi="Arial"/>
        </w:rPr>
        <w:t xml:space="preserve"> and PRC 7911</w:t>
      </w:r>
      <w:r w:rsidR="00582167">
        <w:rPr>
          <w:rFonts w:ascii="Arial" w:hAnsi="Arial"/>
        </w:rPr>
        <w:t>.1</w:t>
      </w:r>
      <w:r>
        <w:rPr>
          <w:rFonts w:ascii="Arial" w:hAnsi="Arial"/>
        </w:rPr>
        <w:t>.</w:t>
      </w:r>
      <w:proofErr w:type="gramEnd"/>
      <w:r>
        <w:rPr>
          <w:rFonts w:ascii="Arial" w:hAnsi="Arial"/>
        </w:rPr>
        <w:t xml:space="preserve">  </w:t>
      </w:r>
      <w:r w:rsidR="00E828B1">
        <w:rPr>
          <w:rFonts w:ascii="Arial" w:hAnsi="Arial"/>
        </w:rPr>
        <w:t xml:space="preserve">(This letter is attached as Exhibit C.)  </w:t>
      </w:r>
      <w:r>
        <w:rPr>
          <w:rFonts w:ascii="Arial" w:hAnsi="Arial"/>
        </w:rPr>
        <w:t xml:space="preserve">Staff set deadlines </w:t>
      </w:r>
      <w:r w:rsidR="00980C71">
        <w:rPr>
          <w:rFonts w:ascii="Arial" w:hAnsi="Arial"/>
        </w:rPr>
        <w:t>for</w:t>
      </w:r>
      <w:r w:rsidR="004021C4">
        <w:rPr>
          <w:rFonts w:ascii="Arial" w:hAnsi="Arial"/>
        </w:rPr>
        <w:t xml:space="preserve"> the completion of </w:t>
      </w:r>
      <w:r>
        <w:rPr>
          <w:rFonts w:ascii="Arial" w:hAnsi="Arial"/>
        </w:rPr>
        <w:t xml:space="preserve">each of these three actions. First, </w:t>
      </w:r>
      <w:r w:rsidR="000A3B2D">
        <w:rPr>
          <w:rFonts w:ascii="Arial" w:hAnsi="Arial"/>
        </w:rPr>
        <w:t xml:space="preserve">staff asked Carone </w:t>
      </w:r>
      <w:r w:rsidR="001660B4">
        <w:rPr>
          <w:rFonts w:ascii="Arial" w:hAnsi="Arial"/>
        </w:rPr>
        <w:t>for a fully</w:t>
      </w:r>
      <w:r w:rsidR="000A3B2D">
        <w:rPr>
          <w:rFonts w:ascii="Arial" w:hAnsi="Arial"/>
        </w:rPr>
        <w:t xml:space="preserve"> execute</w:t>
      </w:r>
      <w:r w:rsidR="001660B4">
        <w:rPr>
          <w:rFonts w:ascii="Arial" w:hAnsi="Arial"/>
        </w:rPr>
        <w:t>d</w:t>
      </w:r>
      <w:r w:rsidR="000A3B2D">
        <w:rPr>
          <w:rFonts w:ascii="Arial" w:hAnsi="Arial"/>
        </w:rPr>
        <w:t xml:space="preserve"> and fully </w:t>
      </w:r>
      <w:r w:rsidR="001660B4">
        <w:rPr>
          <w:rFonts w:ascii="Arial" w:hAnsi="Arial"/>
        </w:rPr>
        <w:t>funded agreement</w:t>
      </w:r>
      <w:r w:rsidR="000A3B2D">
        <w:rPr>
          <w:rFonts w:ascii="Arial" w:hAnsi="Arial"/>
        </w:rPr>
        <w:t xml:space="preserve"> for the resumption and completion of the CEQA process.</w:t>
      </w:r>
      <w:r w:rsidR="001660B4">
        <w:rPr>
          <w:rFonts w:ascii="Arial" w:hAnsi="Arial"/>
        </w:rPr>
        <w:t xml:space="preserve"> The amount to be funded would be $650,000, and it would be due by December 15, 2008.  </w:t>
      </w:r>
      <w:r w:rsidR="000A3B2D">
        <w:rPr>
          <w:rFonts w:ascii="Arial" w:hAnsi="Arial"/>
        </w:rPr>
        <w:t xml:space="preserve">Second, </w:t>
      </w:r>
      <w:r w:rsidR="001660B4">
        <w:rPr>
          <w:rFonts w:ascii="Arial" w:hAnsi="Arial"/>
        </w:rPr>
        <w:t xml:space="preserve">staff asked Carone to submit </w:t>
      </w:r>
      <w:r w:rsidR="004021C4">
        <w:rPr>
          <w:rFonts w:ascii="Arial" w:hAnsi="Arial"/>
        </w:rPr>
        <w:t xml:space="preserve">by December 15, 2008, </w:t>
      </w:r>
      <w:r w:rsidR="001660B4">
        <w:rPr>
          <w:rFonts w:ascii="Arial" w:hAnsi="Arial"/>
        </w:rPr>
        <w:t>a fully executed contract with a structural integrity contractor for the structural requalification of Platform Hogan</w:t>
      </w:r>
      <w:r w:rsidR="00980C71">
        <w:rPr>
          <w:rFonts w:ascii="Arial" w:hAnsi="Arial"/>
        </w:rPr>
        <w:t xml:space="preserve">, and requiring </w:t>
      </w:r>
      <w:r w:rsidR="004021C4">
        <w:rPr>
          <w:rFonts w:ascii="Arial" w:hAnsi="Arial"/>
        </w:rPr>
        <w:t xml:space="preserve">the contractor to commence </w:t>
      </w:r>
      <w:r w:rsidR="00980C71">
        <w:rPr>
          <w:rFonts w:ascii="Arial" w:hAnsi="Arial"/>
        </w:rPr>
        <w:t>work by April 1, 2009</w:t>
      </w:r>
      <w:r w:rsidR="001660B4">
        <w:rPr>
          <w:rFonts w:ascii="Arial" w:hAnsi="Arial"/>
        </w:rPr>
        <w:t xml:space="preserve">.  Third, staff requested that Carone provide to the MMS by December 15, 2008, a detailed written proposal for expeditiously proceeding with and concluding the process for obtaining MMS approval for Carone to drill into and produce the state leases from Platform Hogan.  </w:t>
      </w:r>
      <w:r w:rsidR="00E828B1">
        <w:rPr>
          <w:rFonts w:ascii="Arial" w:hAnsi="Arial"/>
        </w:rPr>
        <w:t xml:space="preserve">Staff </w:t>
      </w:r>
      <w:r w:rsidR="002D6839">
        <w:rPr>
          <w:rFonts w:ascii="Arial" w:hAnsi="Arial"/>
        </w:rPr>
        <w:t>also incl</w:t>
      </w:r>
      <w:r w:rsidR="007D1473">
        <w:rPr>
          <w:rFonts w:ascii="Arial" w:hAnsi="Arial"/>
        </w:rPr>
        <w:t>uded a demand</w:t>
      </w:r>
      <w:r w:rsidR="00E828B1">
        <w:rPr>
          <w:rFonts w:ascii="Arial" w:hAnsi="Arial"/>
        </w:rPr>
        <w:t xml:space="preserve"> that Carone submit </w:t>
      </w:r>
      <w:r w:rsidR="007D1473">
        <w:rPr>
          <w:rFonts w:ascii="Arial" w:hAnsi="Arial"/>
        </w:rPr>
        <w:t>quitclaims for</w:t>
      </w:r>
      <w:r w:rsidR="00E828B1">
        <w:rPr>
          <w:rFonts w:ascii="Arial" w:hAnsi="Arial"/>
        </w:rPr>
        <w:t xml:space="preserve"> both Lease PRC 4000</w:t>
      </w:r>
      <w:r w:rsidR="00582167">
        <w:rPr>
          <w:rFonts w:ascii="Arial" w:hAnsi="Arial"/>
        </w:rPr>
        <w:t>.1</w:t>
      </w:r>
      <w:r w:rsidR="00E828B1">
        <w:rPr>
          <w:rFonts w:ascii="Arial" w:hAnsi="Arial"/>
        </w:rPr>
        <w:t xml:space="preserve"> and PRC 7911</w:t>
      </w:r>
      <w:r w:rsidR="00582167">
        <w:rPr>
          <w:rFonts w:ascii="Arial" w:hAnsi="Arial"/>
        </w:rPr>
        <w:t>.1</w:t>
      </w:r>
      <w:r w:rsidR="00E828B1">
        <w:rPr>
          <w:rFonts w:ascii="Arial" w:hAnsi="Arial"/>
        </w:rPr>
        <w:t xml:space="preserve"> if it failed to complete all three requests.</w:t>
      </w:r>
    </w:p>
    <w:p w:rsidR="00E828B1" w:rsidRDefault="00E828B1" w:rsidP="000C2AC0">
      <w:pPr>
        <w:tabs>
          <w:tab w:val="left" w:pos="-1440"/>
          <w:tab w:val="left" w:pos="-720"/>
          <w:tab w:val="left" w:pos="720"/>
          <w:tab w:val="left" w:pos="1320"/>
          <w:tab w:val="left" w:pos="4680"/>
          <w:tab w:val="left" w:pos="7560"/>
        </w:tabs>
        <w:ind w:left="720"/>
        <w:rPr>
          <w:rFonts w:ascii="Arial" w:hAnsi="Arial"/>
        </w:rPr>
      </w:pPr>
    </w:p>
    <w:p w:rsidR="00E828B1" w:rsidRDefault="00E828B1" w:rsidP="000C2AC0">
      <w:pPr>
        <w:tabs>
          <w:tab w:val="left" w:pos="-1440"/>
          <w:tab w:val="left" w:pos="-720"/>
          <w:tab w:val="left" w:pos="720"/>
          <w:tab w:val="left" w:pos="1320"/>
          <w:tab w:val="left" w:pos="4680"/>
          <w:tab w:val="left" w:pos="7560"/>
        </w:tabs>
        <w:ind w:left="720"/>
        <w:rPr>
          <w:rFonts w:ascii="Arial" w:hAnsi="Arial"/>
        </w:rPr>
      </w:pPr>
      <w:r>
        <w:rPr>
          <w:rFonts w:ascii="Arial" w:hAnsi="Arial"/>
        </w:rPr>
        <w:t xml:space="preserve">Carone did not comply with any of the actions </w:t>
      </w:r>
      <w:r w:rsidR="007D1473">
        <w:rPr>
          <w:rFonts w:ascii="Arial" w:hAnsi="Arial"/>
        </w:rPr>
        <w:t>set forth</w:t>
      </w:r>
      <w:r>
        <w:rPr>
          <w:rFonts w:ascii="Arial" w:hAnsi="Arial"/>
        </w:rPr>
        <w:t xml:space="preserve"> in the September 30 letter from staff.  Instead, Carone provided its response in a letter to staff dated January 20, 2009.  (This letter from Carone is attached as Exhibit D.)  The basic </w:t>
      </w:r>
      <w:r w:rsidR="000C4AA7">
        <w:rPr>
          <w:rFonts w:ascii="Arial" w:hAnsi="Arial"/>
        </w:rPr>
        <w:t>premise</w:t>
      </w:r>
      <w:r>
        <w:rPr>
          <w:rFonts w:ascii="Arial" w:hAnsi="Arial"/>
        </w:rPr>
        <w:t xml:space="preserve"> of Carone’s response was that</w:t>
      </w:r>
      <w:r w:rsidR="004021C4">
        <w:rPr>
          <w:rFonts w:ascii="Arial" w:hAnsi="Arial"/>
        </w:rPr>
        <w:t xml:space="preserve"> it</w:t>
      </w:r>
      <w:r>
        <w:rPr>
          <w:rFonts w:ascii="Arial" w:hAnsi="Arial"/>
        </w:rPr>
        <w:t xml:space="preserve"> did not have the financial resources to pursue this project at this time and could make no financial commitments to the project until the monthly average NYMEX crude oil price is at least $6</w:t>
      </w:r>
      <w:r w:rsidR="00870D34">
        <w:rPr>
          <w:rFonts w:ascii="Arial" w:hAnsi="Arial"/>
        </w:rPr>
        <w:t>0</w:t>
      </w:r>
      <w:r>
        <w:rPr>
          <w:rFonts w:ascii="Arial" w:hAnsi="Arial"/>
        </w:rPr>
        <w:t xml:space="preserve"> per barrel </w:t>
      </w:r>
      <w:r>
        <w:rPr>
          <w:rFonts w:ascii="Arial" w:hAnsi="Arial"/>
        </w:rPr>
        <w:lastRenderedPageBreak/>
        <w:t xml:space="preserve">for at least three consecutive months.  In other words, Carone has put the project on an indefinite hold. </w:t>
      </w:r>
      <w:r w:rsidR="006B49AE">
        <w:rPr>
          <w:rFonts w:ascii="Arial" w:hAnsi="Arial"/>
        </w:rPr>
        <w:t xml:space="preserve"> Carone </w:t>
      </w:r>
      <w:r w:rsidR="004021C4">
        <w:rPr>
          <w:rFonts w:ascii="Arial" w:hAnsi="Arial"/>
        </w:rPr>
        <w:t xml:space="preserve">also said </w:t>
      </w:r>
      <w:r w:rsidR="006B49AE">
        <w:rPr>
          <w:rFonts w:ascii="Arial" w:hAnsi="Arial"/>
        </w:rPr>
        <w:t xml:space="preserve">that by the end of the first quarter of 2009, it anticipated final results on the requalification of Platform Hogan </w:t>
      </w:r>
      <w:r w:rsidR="00E75F65">
        <w:rPr>
          <w:rFonts w:ascii="Arial" w:hAnsi="Arial"/>
        </w:rPr>
        <w:t>would</w:t>
      </w:r>
      <w:r w:rsidR="006B49AE">
        <w:rPr>
          <w:rFonts w:ascii="Arial" w:hAnsi="Arial"/>
        </w:rPr>
        <w:t xml:space="preserve"> be available,</w:t>
      </w:r>
      <w:r w:rsidR="004021C4">
        <w:rPr>
          <w:rFonts w:ascii="Arial" w:hAnsi="Arial"/>
        </w:rPr>
        <w:t xml:space="preserve"> and</w:t>
      </w:r>
      <w:r w:rsidR="006B49AE">
        <w:rPr>
          <w:rFonts w:ascii="Arial" w:hAnsi="Arial"/>
        </w:rPr>
        <w:t xml:space="preserve"> it would submit to the staff a revised development plan and complete and submit a RUE application to the MMS.  Staff is not aware of any progress having been made on </w:t>
      </w:r>
      <w:r w:rsidR="00E75F65">
        <w:rPr>
          <w:rFonts w:ascii="Arial" w:hAnsi="Arial"/>
        </w:rPr>
        <w:t>completing</w:t>
      </w:r>
      <w:r w:rsidR="004021C4">
        <w:rPr>
          <w:rFonts w:ascii="Arial" w:hAnsi="Arial"/>
        </w:rPr>
        <w:t xml:space="preserve"> any of</w:t>
      </w:r>
      <w:r w:rsidR="00E75F65">
        <w:rPr>
          <w:rFonts w:ascii="Arial" w:hAnsi="Arial"/>
        </w:rPr>
        <w:t xml:space="preserve"> </w:t>
      </w:r>
      <w:r w:rsidR="00AC2AD4">
        <w:rPr>
          <w:rFonts w:ascii="Arial" w:hAnsi="Arial"/>
        </w:rPr>
        <w:t xml:space="preserve">these </w:t>
      </w:r>
      <w:r w:rsidR="006B49AE">
        <w:rPr>
          <w:rFonts w:ascii="Arial" w:hAnsi="Arial"/>
        </w:rPr>
        <w:t>matters</w:t>
      </w:r>
      <w:r w:rsidR="00E75F65">
        <w:rPr>
          <w:rFonts w:ascii="Arial" w:hAnsi="Arial"/>
        </w:rPr>
        <w:t>, none of which</w:t>
      </w:r>
      <w:r w:rsidR="00980C71">
        <w:rPr>
          <w:rFonts w:ascii="Arial" w:hAnsi="Arial"/>
        </w:rPr>
        <w:t>, even if completed,</w:t>
      </w:r>
      <w:r w:rsidR="00E75F65">
        <w:rPr>
          <w:rFonts w:ascii="Arial" w:hAnsi="Arial"/>
        </w:rPr>
        <w:t xml:space="preserve"> demonstrates a financial commitment by Carone to </w:t>
      </w:r>
      <w:r w:rsidR="00980C71">
        <w:rPr>
          <w:rFonts w:ascii="Arial" w:hAnsi="Arial"/>
        </w:rPr>
        <w:t xml:space="preserve">use reasonable diligence to </w:t>
      </w:r>
      <w:r w:rsidR="00E75F65">
        <w:rPr>
          <w:rFonts w:ascii="Arial" w:hAnsi="Arial"/>
        </w:rPr>
        <w:t>pursue the</w:t>
      </w:r>
      <w:r w:rsidR="004021C4">
        <w:rPr>
          <w:rFonts w:ascii="Arial" w:hAnsi="Arial"/>
        </w:rPr>
        <w:t xml:space="preserve"> development</w:t>
      </w:r>
      <w:r w:rsidR="00E75F65">
        <w:rPr>
          <w:rFonts w:ascii="Arial" w:hAnsi="Arial"/>
        </w:rPr>
        <w:t xml:space="preserve"> project</w:t>
      </w:r>
      <w:r w:rsidR="00980C71">
        <w:rPr>
          <w:rFonts w:ascii="Arial" w:hAnsi="Arial"/>
        </w:rPr>
        <w:t xml:space="preserve"> </w:t>
      </w:r>
      <w:r w:rsidR="004021C4">
        <w:rPr>
          <w:rFonts w:ascii="Arial" w:hAnsi="Arial"/>
        </w:rPr>
        <w:t>intended to</w:t>
      </w:r>
      <w:r w:rsidR="00980C71">
        <w:rPr>
          <w:rFonts w:ascii="Arial" w:hAnsi="Arial"/>
        </w:rPr>
        <w:t xml:space="preserve"> return these leases to production.</w:t>
      </w:r>
    </w:p>
    <w:p w:rsidR="006B49AE" w:rsidRDefault="006B49AE" w:rsidP="000C2AC0">
      <w:pPr>
        <w:tabs>
          <w:tab w:val="left" w:pos="-1440"/>
          <w:tab w:val="left" w:pos="-720"/>
          <w:tab w:val="left" w:pos="720"/>
          <w:tab w:val="left" w:pos="1320"/>
          <w:tab w:val="left" w:pos="4680"/>
          <w:tab w:val="left" w:pos="7560"/>
        </w:tabs>
        <w:ind w:left="720"/>
        <w:rPr>
          <w:rFonts w:ascii="Arial" w:hAnsi="Arial"/>
        </w:rPr>
      </w:pPr>
    </w:p>
    <w:p w:rsidR="006B49AE" w:rsidRDefault="00E75F65" w:rsidP="000C2AC0">
      <w:pPr>
        <w:tabs>
          <w:tab w:val="left" w:pos="-1440"/>
          <w:tab w:val="left" w:pos="-720"/>
          <w:tab w:val="left" w:pos="720"/>
          <w:tab w:val="left" w:pos="1320"/>
          <w:tab w:val="left" w:pos="4680"/>
          <w:tab w:val="left" w:pos="7560"/>
        </w:tabs>
        <w:ind w:left="720"/>
        <w:rPr>
          <w:rFonts w:ascii="Arial" w:hAnsi="Arial"/>
        </w:rPr>
      </w:pPr>
      <w:r>
        <w:rPr>
          <w:rFonts w:ascii="Arial" w:hAnsi="Arial"/>
        </w:rPr>
        <w:t xml:space="preserve">Staff responded to Carone in a letter dated February 5, 2009.  </w:t>
      </w:r>
      <w:r w:rsidR="00870D34">
        <w:rPr>
          <w:rFonts w:ascii="Arial" w:hAnsi="Arial"/>
        </w:rPr>
        <w:t xml:space="preserve">(A copy of this letter is attached as Exhibit E.)  </w:t>
      </w:r>
      <w:r>
        <w:rPr>
          <w:rFonts w:ascii="Arial" w:hAnsi="Arial"/>
        </w:rPr>
        <w:t xml:space="preserve">In that letter, staff reiterated the statement in its letter of September 30, 2008, </w:t>
      </w:r>
      <w:r w:rsidR="007D1473">
        <w:rPr>
          <w:rFonts w:ascii="Arial" w:hAnsi="Arial"/>
        </w:rPr>
        <w:t xml:space="preserve">including </w:t>
      </w:r>
      <w:r>
        <w:rPr>
          <w:rFonts w:ascii="Arial" w:hAnsi="Arial"/>
        </w:rPr>
        <w:t xml:space="preserve">that it would bring to the Commission a recommendation of finding Carone in default if it failed to comply  with the </w:t>
      </w:r>
      <w:r w:rsidR="007D1473">
        <w:rPr>
          <w:rFonts w:ascii="Arial" w:hAnsi="Arial"/>
        </w:rPr>
        <w:t>required actions set forth</w:t>
      </w:r>
      <w:r>
        <w:rPr>
          <w:rFonts w:ascii="Arial" w:hAnsi="Arial"/>
        </w:rPr>
        <w:t xml:space="preserve"> in that letter or</w:t>
      </w:r>
      <w:r w:rsidR="00A9408C">
        <w:rPr>
          <w:rFonts w:ascii="Arial" w:hAnsi="Arial"/>
        </w:rPr>
        <w:t xml:space="preserve"> failed to</w:t>
      </w:r>
      <w:r>
        <w:rPr>
          <w:rFonts w:ascii="Arial" w:hAnsi="Arial"/>
        </w:rPr>
        <w:t xml:space="preserve"> file </w:t>
      </w:r>
      <w:r w:rsidR="00870D34">
        <w:rPr>
          <w:rFonts w:ascii="Arial" w:hAnsi="Arial"/>
        </w:rPr>
        <w:t xml:space="preserve">quitclaims for the two leases. </w:t>
      </w:r>
      <w:r>
        <w:rPr>
          <w:rFonts w:ascii="Arial" w:hAnsi="Arial"/>
        </w:rPr>
        <w:t xml:space="preserve">Noting the severity of the current economic conditions and particularly the tightening of the credit market, staff, nonetheless, </w:t>
      </w:r>
      <w:r w:rsidR="00A9408C">
        <w:rPr>
          <w:rFonts w:ascii="Arial" w:hAnsi="Arial"/>
        </w:rPr>
        <w:t>stated</w:t>
      </w:r>
      <w:r>
        <w:rPr>
          <w:rFonts w:ascii="Arial" w:hAnsi="Arial"/>
        </w:rPr>
        <w:t xml:space="preserve"> that these conditions do not mitigate twelve years of delay since Carone acquired the leases.  If Carone’</w:t>
      </w:r>
      <w:r w:rsidR="00870D34">
        <w:rPr>
          <w:rFonts w:ascii="Arial" w:hAnsi="Arial"/>
        </w:rPr>
        <w:t xml:space="preserve">s stated intent is to delay pursuit of project development until oil prices stabilize at or above $60 per barrel, then the State has no assurance that Carone ever will be capable of carrying out its long-term obligations under the lease. </w:t>
      </w:r>
    </w:p>
    <w:p w:rsidR="00B87206" w:rsidRDefault="00B87206" w:rsidP="000C2AC0">
      <w:pPr>
        <w:tabs>
          <w:tab w:val="left" w:pos="-1440"/>
          <w:tab w:val="left" w:pos="-720"/>
          <w:tab w:val="left" w:pos="720"/>
          <w:tab w:val="left" w:pos="1320"/>
          <w:tab w:val="left" w:pos="4680"/>
          <w:tab w:val="left" w:pos="7560"/>
        </w:tabs>
        <w:ind w:left="720"/>
        <w:rPr>
          <w:rFonts w:ascii="Arial" w:hAnsi="Arial"/>
        </w:rPr>
      </w:pPr>
    </w:p>
    <w:p w:rsidR="00BB6B68" w:rsidRDefault="00870D34" w:rsidP="000C2AC0">
      <w:pPr>
        <w:tabs>
          <w:tab w:val="left" w:pos="-1440"/>
          <w:tab w:val="left" w:pos="-720"/>
          <w:tab w:val="left" w:pos="720"/>
          <w:tab w:val="left" w:pos="1320"/>
          <w:tab w:val="left" w:pos="4680"/>
          <w:tab w:val="left" w:pos="7560"/>
        </w:tabs>
        <w:ind w:left="720"/>
        <w:rPr>
          <w:rFonts w:ascii="Arial" w:hAnsi="Arial"/>
        </w:rPr>
      </w:pPr>
      <w:r>
        <w:rPr>
          <w:rFonts w:ascii="Arial" w:hAnsi="Arial"/>
        </w:rPr>
        <w:t>Staff, therefore, is recommending that the Commission find Carone in default of both Leases PRC 4000</w:t>
      </w:r>
      <w:r w:rsidR="00582167">
        <w:rPr>
          <w:rFonts w:ascii="Arial" w:hAnsi="Arial"/>
        </w:rPr>
        <w:t>.1</w:t>
      </w:r>
      <w:r>
        <w:rPr>
          <w:rFonts w:ascii="Arial" w:hAnsi="Arial"/>
        </w:rPr>
        <w:t xml:space="preserve"> and PRC 7911</w:t>
      </w:r>
      <w:r w:rsidR="00582167">
        <w:rPr>
          <w:rFonts w:ascii="Arial" w:hAnsi="Arial"/>
        </w:rPr>
        <w:t>.1</w:t>
      </w:r>
      <w:r>
        <w:rPr>
          <w:rFonts w:ascii="Arial" w:hAnsi="Arial"/>
        </w:rPr>
        <w:t>.  Under the default provision of the leases</w:t>
      </w:r>
      <w:r w:rsidR="003C43DF">
        <w:rPr>
          <w:rFonts w:ascii="Arial" w:hAnsi="Arial"/>
        </w:rPr>
        <w:t xml:space="preserve"> (Lease Paragraph 6) the lease may be forfeited upon the failure of the lessee after 90 days written notice and demand to comply with any of the lease provisions.  Paragraph 1 of both leases requires the lessee</w:t>
      </w:r>
      <w:r w:rsidR="00A9408C">
        <w:rPr>
          <w:rFonts w:ascii="Arial" w:hAnsi="Arial"/>
        </w:rPr>
        <w:t xml:space="preserve"> to “pursue diligently” drilling and other</w:t>
      </w:r>
      <w:r w:rsidR="004021C4">
        <w:rPr>
          <w:rFonts w:ascii="Arial" w:hAnsi="Arial"/>
        </w:rPr>
        <w:t xml:space="preserve"> well</w:t>
      </w:r>
      <w:r w:rsidR="00A9408C">
        <w:rPr>
          <w:rFonts w:ascii="Arial" w:hAnsi="Arial"/>
        </w:rPr>
        <w:t xml:space="preserve"> operations </w:t>
      </w:r>
      <w:r w:rsidR="004021C4">
        <w:rPr>
          <w:rFonts w:ascii="Arial" w:hAnsi="Arial"/>
        </w:rPr>
        <w:t>that would restore production so that the lease would not terminate due to the absence of commercial production</w:t>
      </w:r>
      <w:r w:rsidR="00503FDB">
        <w:rPr>
          <w:rFonts w:ascii="Arial" w:hAnsi="Arial"/>
        </w:rPr>
        <w:t>.</w:t>
      </w:r>
      <w:r w:rsidR="003C43DF">
        <w:rPr>
          <w:rFonts w:ascii="Arial" w:hAnsi="Arial"/>
        </w:rPr>
        <w:t xml:space="preserve">  Staff has worked with Carone for over twelve years to restore production on these leases.  When</w:t>
      </w:r>
      <w:r w:rsidR="0041330B">
        <w:rPr>
          <w:rFonts w:ascii="Arial" w:hAnsi="Arial"/>
        </w:rPr>
        <w:t xml:space="preserve"> the Commission approved the assignment of the leases to Carone</w:t>
      </w:r>
      <w:r w:rsidR="003C43DF">
        <w:rPr>
          <w:rFonts w:ascii="Arial" w:hAnsi="Arial"/>
        </w:rPr>
        <w:t xml:space="preserve"> in 1996,</w:t>
      </w:r>
      <w:r w:rsidR="0041330B">
        <w:rPr>
          <w:rFonts w:ascii="Arial" w:hAnsi="Arial"/>
        </w:rPr>
        <w:t xml:space="preserve"> it conditioned</w:t>
      </w:r>
      <w:r w:rsidR="003F7221">
        <w:rPr>
          <w:rFonts w:ascii="Arial" w:hAnsi="Arial"/>
        </w:rPr>
        <w:t xml:space="preserve"> </w:t>
      </w:r>
      <w:r w:rsidR="0041330B">
        <w:rPr>
          <w:rFonts w:ascii="Arial" w:hAnsi="Arial"/>
        </w:rPr>
        <w:t>its approval</w:t>
      </w:r>
      <w:r w:rsidR="003C43DF">
        <w:rPr>
          <w:rFonts w:ascii="Arial" w:hAnsi="Arial"/>
        </w:rPr>
        <w:t xml:space="preserve"> </w:t>
      </w:r>
      <w:r w:rsidR="0041330B">
        <w:rPr>
          <w:rFonts w:ascii="Arial" w:hAnsi="Arial"/>
        </w:rPr>
        <w:t>on</w:t>
      </w:r>
      <w:r w:rsidR="003C43DF">
        <w:rPr>
          <w:rFonts w:ascii="Arial" w:hAnsi="Arial"/>
        </w:rPr>
        <w:t xml:space="preserve"> </w:t>
      </w:r>
      <w:r w:rsidR="00221B70">
        <w:rPr>
          <w:rFonts w:ascii="Arial" w:hAnsi="Arial"/>
        </w:rPr>
        <w:t xml:space="preserve">Carone </w:t>
      </w:r>
      <w:r w:rsidR="0041330B">
        <w:rPr>
          <w:rFonts w:ascii="Arial" w:hAnsi="Arial"/>
        </w:rPr>
        <w:t xml:space="preserve">providing </w:t>
      </w:r>
      <w:r w:rsidR="003C43DF">
        <w:rPr>
          <w:rFonts w:ascii="Arial" w:hAnsi="Arial"/>
        </w:rPr>
        <w:t xml:space="preserve">a development plan in two years and </w:t>
      </w:r>
      <w:r w:rsidR="0041330B">
        <w:rPr>
          <w:rFonts w:ascii="Arial" w:hAnsi="Arial"/>
        </w:rPr>
        <w:t xml:space="preserve">to </w:t>
      </w:r>
      <w:r w:rsidR="003C43DF">
        <w:rPr>
          <w:rFonts w:ascii="Arial" w:hAnsi="Arial"/>
        </w:rPr>
        <w:t>begin drilling in three years</w:t>
      </w:r>
      <w:r w:rsidR="0041330B">
        <w:rPr>
          <w:rFonts w:ascii="Arial" w:hAnsi="Arial"/>
        </w:rPr>
        <w:t>, a condition to which Carone agreed</w:t>
      </w:r>
      <w:r w:rsidR="003C43DF">
        <w:rPr>
          <w:rFonts w:ascii="Arial" w:hAnsi="Arial"/>
        </w:rPr>
        <w:t xml:space="preserve">.  </w:t>
      </w:r>
      <w:r w:rsidR="00BB6B68">
        <w:rPr>
          <w:rFonts w:ascii="Arial" w:hAnsi="Arial"/>
        </w:rPr>
        <w:t>Twelve years have passed</w:t>
      </w:r>
      <w:r w:rsidR="00221B70">
        <w:rPr>
          <w:rFonts w:ascii="Arial" w:hAnsi="Arial"/>
        </w:rPr>
        <w:t>,</w:t>
      </w:r>
      <w:r w:rsidR="00BB6B68">
        <w:rPr>
          <w:rFonts w:ascii="Arial" w:hAnsi="Arial"/>
        </w:rPr>
        <w:t xml:space="preserve"> and </w:t>
      </w:r>
      <w:r w:rsidR="0041330B">
        <w:rPr>
          <w:rFonts w:ascii="Arial" w:hAnsi="Arial"/>
        </w:rPr>
        <w:t xml:space="preserve">Carone has not met </w:t>
      </w:r>
      <w:r w:rsidR="003F7221">
        <w:rPr>
          <w:rFonts w:ascii="Arial" w:hAnsi="Arial"/>
        </w:rPr>
        <w:t>these</w:t>
      </w:r>
      <w:r w:rsidR="00BB6B68">
        <w:rPr>
          <w:rFonts w:ascii="Arial" w:hAnsi="Arial"/>
        </w:rPr>
        <w:t xml:space="preserve"> condition</w:t>
      </w:r>
      <w:r w:rsidR="003F7221">
        <w:rPr>
          <w:rFonts w:ascii="Arial" w:hAnsi="Arial"/>
        </w:rPr>
        <w:t>s</w:t>
      </w:r>
      <w:r w:rsidR="00221B70">
        <w:rPr>
          <w:rFonts w:ascii="Arial" w:hAnsi="Arial"/>
        </w:rPr>
        <w:t>.</w:t>
      </w:r>
      <w:r w:rsidR="0041330B">
        <w:rPr>
          <w:rFonts w:ascii="Arial" w:hAnsi="Arial"/>
        </w:rPr>
        <w:t xml:space="preserve">  During these </w:t>
      </w:r>
      <w:r w:rsidR="000C4AA7">
        <w:rPr>
          <w:rFonts w:ascii="Arial" w:hAnsi="Arial"/>
        </w:rPr>
        <w:t>twelve</w:t>
      </w:r>
      <w:r w:rsidR="00582167">
        <w:rPr>
          <w:rFonts w:ascii="Arial" w:hAnsi="Arial"/>
        </w:rPr>
        <w:t xml:space="preserve"> </w:t>
      </w:r>
      <w:r w:rsidR="0041330B">
        <w:rPr>
          <w:rFonts w:ascii="Arial" w:hAnsi="Arial"/>
        </w:rPr>
        <w:t xml:space="preserve">years, oil prices have been high and credit has been available, giving Carone ample opportunity to pursue and complete the required lease development.  Waiting </w:t>
      </w:r>
      <w:r w:rsidR="00221B70">
        <w:rPr>
          <w:rFonts w:ascii="Arial" w:hAnsi="Arial"/>
        </w:rPr>
        <w:t>until oil prices stabilize at or ab</w:t>
      </w:r>
      <w:r w:rsidR="00CA25BD">
        <w:rPr>
          <w:rFonts w:ascii="Arial" w:hAnsi="Arial"/>
        </w:rPr>
        <w:t>ove $60 per barrel</w:t>
      </w:r>
      <w:r w:rsidR="0041330B">
        <w:rPr>
          <w:rFonts w:ascii="Arial" w:hAnsi="Arial"/>
        </w:rPr>
        <w:t xml:space="preserve"> means waiting for an indefinite time to do what Carone could and should have done during the past twelve years</w:t>
      </w:r>
      <w:r w:rsidR="00221B70">
        <w:rPr>
          <w:rFonts w:ascii="Arial" w:hAnsi="Arial"/>
        </w:rPr>
        <w:t>.</w:t>
      </w:r>
      <w:r w:rsidR="00BB6B68">
        <w:rPr>
          <w:rFonts w:ascii="Arial" w:hAnsi="Arial"/>
        </w:rPr>
        <w:t xml:space="preserve"> </w:t>
      </w:r>
      <w:r w:rsidR="00503FDB" w:rsidRPr="00503FDB">
        <w:rPr>
          <w:rFonts w:ascii="Arial" w:hAnsi="Arial"/>
        </w:rPr>
        <w:t xml:space="preserve"> </w:t>
      </w:r>
      <w:r w:rsidR="00503FDB">
        <w:rPr>
          <w:rFonts w:ascii="Arial" w:hAnsi="Arial"/>
        </w:rPr>
        <w:t>The assignment was approved to protect state resources from drainage</w:t>
      </w:r>
      <w:r w:rsidR="003F7221">
        <w:rPr>
          <w:rFonts w:ascii="Arial" w:hAnsi="Arial"/>
        </w:rPr>
        <w:t xml:space="preserve"> and secure additional production from the lands</w:t>
      </w:r>
      <w:r w:rsidR="00503FDB">
        <w:rPr>
          <w:rFonts w:ascii="Arial" w:hAnsi="Arial"/>
        </w:rPr>
        <w:t>. Since the approval of the assignment, there is still no production of the leased lands and Carone</w:t>
      </w:r>
      <w:r w:rsidR="003F7221">
        <w:rPr>
          <w:rFonts w:ascii="Arial" w:hAnsi="Arial"/>
        </w:rPr>
        <w:t>’s operations on adjacent federal lands may</w:t>
      </w:r>
      <w:r w:rsidR="00503FDB">
        <w:rPr>
          <w:rFonts w:ascii="Arial" w:hAnsi="Arial"/>
        </w:rPr>
        <w:t xml:space="preserve"> still </w:t>
      </w:r>
      <w:r w:rsidR="003F7221">
        <w:rPr>
          <w:rFonts w:ascii="Arial" w:hAnsi="Arial"/>
        </w:rPr>
        <w:t>be</w:t>
      </w:r>
      <w:r w:rsidR="00503FDB">
        <w:rPr>
          <w:rFonts w:ascii="Arial" w:hAnsi="Arial"/>
        </w:rPr>
        <w:t xml:space="preserve"> draining state resources.</w:t>
      </w:r>
    </w:p>
    <w:p w:rsidR="00BB6B68" w:rsidRDefault="00BB6B68" w:rsidP="000C2AC0">
      <w:pPr>
        <w:tabs>
          <w:tab w:val="left" w:pos="-1440"/>
          <w:tab w:val="left" w:pos="-720"/>
          <w:tab w:val="left" w:pos="720"/>
          <w:tab w:val="left" w:pos="1320"/>
          <w:tab w:val="left" w:pos="4680"/>
          <w:tab w:val="left" w:pos="7560"/>
        </w:tabs>
        <w:ind w:left="720"/>
        <w:rPr>
          <w:rFonts w:ascii="Arial" w:hAnsi="Arial"/>
        </w:rPr>
      </w:pPr>
    </w:p>
    <w:p w:rsidR="00D90207" w:rsidRDefault="00BB6B68" w:rsidP="000C2AC0">
      <w:pPr>
        <w:tabs>
          <w:tab w:val="left" w:pos="-1440"/>
          <w:tab w:val="left" w:pos="-720"/>
          <w:tab w:val="left" w:pos="720"/>
          <w:tab w:val="left" w:pos="1320"/>
          <w:tab w:val="left" w:pos="4680"/>
          <w:tab w:val="left" w:pos="7560"/>
        </w:tabs>
        <w:ind w:left="720"/>
        <w:rPr>
          <w:rFonts w:ascii="Arial" w:hAnsi="Arial"/>
        </w:rPr>
      </w:pPr>
      <w:r>
        <w:rPr>
          <w:rFonts w:ascii="Arial" w:hAnsi="Arial"/>
        </w:rPr>
        <w:t>The staff</w:t>
      </w:r>
      <w:r w:rsidR="00EB5E6F">
        <w:rPr>
          <w:rFonts w:ascii="Arial" w:hAnsi="Arial"/>
        </w:rPr>
        <w:t>’s</w:t>
      </w:r>
      <w:r>
        <w:rPr>
          <w:rFonts w:ascii="Arial" w:hAnsi="Arial"/>
        </w:rPr>
        <w:t xml:space="preserve"> recommendation of default is based </w:t>
      </w:r>
      <w:r w:rsidR="0041330B">
        <w:rPr>
          <w:rFonts w:ascii="Arial" w:hAnsi="Arial"/>
        </w:rPr>
        <w:t xml:space="preserve">specifically </w:t>
      </w:r>
      <w:r>
        <w:rPr>
          <w:rFonts w:ascii="Arial" w:hAnsi="Arial"/>
        </w:rPr>
        <w:t xml:space="preserve">on Carone’s failure to comply fully with the three </w:t>
      </w:r>
      <w:r w:rsidR="00A9408C">
        <w:rPr>
          <w:rFonts w:ascii="Arial" w:hAnsi="Arial"/>
        </w:rPr>
        <w:t>actions demanded</w:t>
      </w:r>
      <w:r>
        <w:rPr>
          <w:rFonts w:ascii="Arial" w:hAnsi="Arial"/>
        </w:rPr>
        <w:t xml:space="preserve"> in the staff’s September 30, 2008 letter to Carone</w:t>
      </w:r>
      <w:r w:rsidR="0041330B">
        <w:rPr>
          <w:rFonts w:ascii="Arial" w:hAnsi="Arial"/>
        </w:rPr>
        <w:t>,</w:t>
      </w:r>
      <w:r w:rsidR="00952DF9">
        <w:rPr>
          <w:rFonts w:ascii="Arial" w:hAnsi="Arial"/>
        </w:rPr>
        <w:t xml:space="preserve"> </w:t>
      </w:r>
      <w:r w:rsidR="00503FDB">
        <w:rPr>
          <w:rFonts w:ascii="Arial" w:hAnsi="Arial"/>
        </w:rPr>
        <w:t xml:space="preserve">that were to </w:t>
      </w:r>
      <w:r w:rsidR="00395581">
        <w:rPr>
          <w:rFonts w:ascii="Arial" w:hAnsi="Arial"/>
        </w:rPr>
        <w:t>demo</w:t>
      </w:r>
      <w:r w:rsidR="00675009">
        <w:rPr>
          <w:rFonts w:ascii="Arial" w:hAnsi="Arial"/>
        </w:rPr>
        <w:t>n</w:t>
      </w:r>
      <w:r w:rsidR="00395581">
        <w:rPr>
          <w:rFonts w:ascii="Arial" w:hAnsi="Arial"/>
        </w:rPr>
        <w:t>strate</w:t>
      </w:r>
      <w:r w:rsidR="00503FDB">
        <w:rPr>
          <w:rFonts w:ascii="Arial" w:hAnsi="Arial"/>
        </w:rPr>
        <w:t xml:space="preserve"> Carone’s reasonable diligence in restoring production of oil and gas from these leased lands, as required in paragraph 1 of the leases</w:t>
      </w:r>
      <w:r>
        <w:rPr>
          <w:rFonts w:ascii="Arial" w:hAnsi="Arial"/>
        </w:rPr>
        <w:t xml:space="preserve">.  </w:t>
      </w:r>
      <w:r w:rsidR="00A9408C">
        <w:rPr>
          <w:rFonts w:ascii="Arial" w:hAnsi="Arial"/>
        </w:rPr>
        <w:t>Pursuant to the lease terms</w:t>
      </w:r>
      <w:r w:rsidR="00582167">
        <w:rPr>
          <w:rFonts w:ascii="Arial" w:hAnsi="Arial"/>
        </w:rPr>
        <w:t>,</w:t>
      </w:r>
      <w:r>
        <w:rPr>
          <w:rFonts w:ascii="Arial" w:hAnsi="Arial"/>
        </w:rPr>
        <w:t xml:space="preserve"> Carone </w:t>
      </w:r>
      <w:r w:rsidR="00A9408C">
        <w:rPr>
          <w:rFonts w:ascii="Arial" w:hAnsi="Arial"/>
        </w:rPr>
        <w:t>has</w:t>
      </w:r>
      <w:r>
        <w:rPr>
          <w:rFonts w:ascii="Arial" w:hAnsi="Arial"/>
        </w:rPr>
        <w:t xml:space="preserve"> 90 days from a notice of default to </w:t>
      </w:r>
      <w:r w:rsidR="0041330B">
        <w:rPr>
          <w:rFonts w:ascii="Arial" w:hAnsi="Arial"/>
        </w:rPr>
        <w:t>cure the matters</w:t>
      </w:r>
      <w:r w:rsidR="00395581">
        <w:rPr>
          <w:rFonts w:ascii="Arial" w:hAnsi="Arial"/>
        </w:rPr>
        <w:t xml:space="preserve"> </w:t>
      </w:r>
      <w:r w:rsidR="0041330B">
        <w:rPr>
          <w:rFonts w:ascii="Arial" w:hAnsi="Arial"/>
        </w:rPr>
        <w:t xml:space="preserve">upon which the default is based. </w:t>
      </w:r>
      <w:r w:rsidR="00395581">
        <w:rPr>
          <w:rFonts w:ascii="Arial" w:hAnsi="Arial"/>
        </w:rPr>
        <w:t>I</w:t>
      </w:r>
      <w:r w:rsidR="00582167">
        <w:rPr>
          <w:rFonts w:ascii="Arial" w:hAnsi="Arial"/>
        </w:rPr>
        <w:t>f the C</w:t>
      </w:r>
      <w:r w:rsidR="0041330B">
        <w:rPr>
          <w:rFonts w:ascii="Arial" w:hAnsi="Arial"/>
        </w:rPr>
        <w:t xml:space="preserve">ommission were to find Carone in default, Carone would have 90 days to </w:t>
      </w:r>
      <w:r>
        <w:rPr>
          <w:rFonts w:ascii="Arial" w:hAnsi="Arial"/>
        </w:rPr>
        <w:t>comply fully with all three requests or to</w:t>
      </w:r>
      <w:r w:rsidR="0041330B">
        <w:rPr>
          <w:rFonts w:ascii="Arial" w:hAnsi="Arial"/>
        </w:rPr>
        <w:t xml:space="preserve"> file</w:t>
      </w:r>
      <w:r>
        <w:rPr>
          <w:rFonts w:ascii="Arial" w:hAnsi="Arial"/>
        </w:rPr>
        <w:t xml:space="preserve"> quitclaim</w:t>
      </w:r>
      <w:r w:rsidR="0041330B">
        <w:rPr>
          <w:rFonts w:ascii="Arial" w:hAnsi="Arial"/>
        </w:rPr>
        <w:t>s for</w:t>
      </w:r>
      <w:r>
        <w:rPr>
          <w:rFonts w:ascii="Arial" w:hAnsi="Arial"/>
        </w:rPr>
        <w:t xml:space="preserve"> both leases</w:t>
      </w:r>
      <w:r w:rsidR="00503FDB">
        <w:rPr>
          <w:rFonts w:ascii="Arial" w:hAnsi="Arial"/>
        </w:rPr>
        <w:t xml:space="preserve">.  </w:t>
      </w:r>
      <w:r w:rsidR="003F7221">
        <w:rPr>
          <w:rFonts w:ascii="Arial" w:hAnsi="Arial"/>
        </w:rPr>
        <w:t>I</w:t>
      </w:r>
      <w:r w:rsidR="00503FDB">
        <w:rPr>
          <w:rFonts w:ascii="Arial" w:hAnsi="Arial"/>
        </w:rPr>
        <w:t xml:space="preserve">f these leases are quitclaimed, the leased lands will be placed in the </w:t>
      </w:r>
      <w:r w:rsidR="00AF0E27">
        <w:rPr>
          <w:rFonts w:ascii="Arial" w:hAnsi="Arial"/>
        </w:rPr>
        <w:t>c</w:t>
      </w:r>
      <w:r w:rsidR="00503FDB">
        <w:rPr>
          <w:rFonts w:ascii="Arial" w:hAnsi="Arial"/>
        </w:rPr>
        <w:t xml:space="preserve">oastal </w:t>
      </w:r>
      <w:r w:rsidR="00AF0E27">
        <w:rPr>
          <w:rFonts w:ascii="Arial" w:hAnsi="Arial"/>
        </w:rPr>
        <w:t>s</w:t>
      </w:r>
      <w:r w:rsidR="00503FDB">
        <w:rPr>
          <w:rFonts w:ascii="Arial" w:hAnsi="Arial"/>
        </w:rPr>
        <w:t>anctuary</w:t>
      </w:r>
      <w:r w:rsidR="00AF0E27">
        <w:rPr>
          <w:rFonts w:ascii="Arial" w:hAnsi="Arial"/>
        </w:rPr>
        <w:t xml:space="preserve"> as required by the California Coastal Sanctuary Act of 1994</w:t>
      </w:r>
      <w:r w:rsidR="00503FDB">
        <w:rPr>
          <w:rFonts w:ascii="Arial" w:hAnsi="Arial"/>
        </w:rPr>
        <w:t>.</w:t>
      </w:r>
    </w:p>
    <w:p w:rsidR="002A4BA0" w:rsidRDefault="002A4BA0" w:rsidP="000C2AC0">
      <w:pPr>
        <w:tabs>
          <w:tab w:val="left" w:pos="-1440"/>
          <w:tab w:val="left" w:pos="-720"/>
          <w:tab w:val="left" w:pos="720"/>
          <w:tab w:val="left" w:pos="1320"/>
          <w:tab w:val="left" w:pos="4680"/>
          <w:tab w:val="left" w:pos="7560"/>
        </w:tabs>
        <w:ind w:left="720"/>
        <w:rPr>
          <w:rFonts w:ascii="Arial" w:hAnsi="Arial"/>
        </w:rPr>
      </w:pPr>
    </w:p>
    <w:p w:rsidR="006A2A90" w:rsidRDefault="006A2A90" w:rsidP="000C2AC0">
      <w:pPr>
        <w:tabs>
          <w:tab w:val="left" w:pos="-1440"/>
          <w:tab w:val="left" w:pos="-720"/>
          <w:tab w:val="left" w:pos="720"/>
          <w:tab w:val="left" w:pos="1320"/>
          <w:tab w:val="left" w:pos="4680"/>
          <w:tab w:val="left" w:pos="7560"/>
        </w:tabs>
        <w:rPr>
          <w:rFonts w:ascii="Arial" w:hAnsi="Arial"/>
        </w:rPr>
      </w:pPr>
      <w:r>
        <w:rPr>
          <w:rFonts w:ascii="Arial" w:hAnsi="Arial"/>
          <w:b/>
        </w:rPr>
        <w:t>STATUTORY AND OTHER REFERENCES:</w:t>
      </w:r>
    </w:p>
    <w:p w:rsidR="006A2A90" w:rsidRDefault="008A4E7A" w:rsidP="000C2AC0">
      <w:pPr>
        <w:tabs>
          <w:tab w:val="left" w:pos="-1440"/>
          <w:tab w:val="left" w:pos="-720"/>
          <w:tab w:val="left" w:pos="720"/>
          <w:tab w:val="left" w:pos="1320"/>
          <w:tab w:val="left" w:pos="4680"/>
          <w:tab w:val="left" w:pos="7560"/>
        </w:tabs>
        <w:ind w:left="720"/>
        <w:rPr>
          <w:rFonts w:ascii="Arial" w:hAnsi="Arial"/>
        </w:rPr>
      </w:pPr>
      <w:r>
        <w:rPr>
          <w:rFonts w:ascii="Arial" w:hAnsi="Arial"/>
        </w:rPr>
        <w:t>Public Resources Code Sections 6827 and 6829 and Lease Paragraphs 1</w:t>
      </w:r>
      <w:r w:rsidR="00555901">
        <w:rPr>
          <w:rFonts w:ascii="Arial" w:hAnsi="Arial"/>
        </w:rPr>
        <w:t xml:space="preserve"> </w:t>
      </w:r>
      <w:r w:rsidR="00AF0E27">
        <w:rPr>
          <w:rFonts w:ascii="Arial" w:hAnsi="Arial"/>
        </w:rPr>
        <w:t xml:space="preserve">and </w:t>
      </w:r>
      <w:r w:rsidR="00555901">
        <w:rPr>
          <w:rFonts w:ascii="Arial" w:hAnsi="Arial"/>
        </w:rPr>
        <w:t>6</w:t>
      </w:r>
    </w:p>
    <w:p w:rsidR="006A2A90" w:rsidRDefault="006A2A90" w:rsidP="000C2AC0">
      <w:pPr>
        <w:tabs>
          <w:tab w:val="left" w:pos="-1440"/>
          <w:tab w:val="left" w:pos="-720"/>
          <w:tab w:val="left" w:pos="720"/>
          <w:tab w:val="left" w:pos="1320"/>
          <w:tab w:val="left" w:pos="4680"/>
          <w:tab w:val="left" w:pos="7560"/>
        </w:tabs>
        <w:rPr>
          <w:rFonts w:ascii="Arial" w:hAnsi="Arial"/>
        </w:rPr>
      </w:pPr>
    </w:p>
    <w:p w:rsidR="006A2A90" w:rsidRDefault="006A2A90" w:rsidP="000C2AC0">
      <w:pPr>
        <w:tabs>
          <w:tab w:val="left" w:pos="-1440"/>
          <w:tab w:val="left" w:pos="-720"/>
          <w:tab w:val="left" w:pos="720"/>
          <w:tab w:val="left" w:pos="1320"/>
          <w:tab w:val="left" w:pos="4680"/>
          <w:tab w:val="left" w:pos="7560"/>
        </w:tabs>
        <w:rPr>
          <w:rFonts w:ascii="Arial" w:hAnsi="Arial"/>
        </w:rPr>
      </w:pPr>
      <w:r>
        <w:rPr>
          <w:rFonts w:ascii="Arial" w:hAnsi="Arial"/>
          <w:b/>
        </w:rPr>
        <w:t>OTHER PERTINENT INFORMATION:</w:t>
      </w:r>
    </w:p>
    <w:p w:rsidR="006B01D5" w:rsidRDefault="006A2A90" w:rsidP="000C2AC0">
      <w:pPr>
        <w:numPr>
          <w:ilvl w:val="0"/>
          <w:numId w:val="1"/>
        </w:numPr>
        <w:ind w:left="1440" w:hanging="720"/>
        <w:rPr>
          <w:rFonts w:ascii="Arial" w:hAnsi="Arial"/>
        </w:rPr>
      </w:pPr>
      <w:r>
        <w:rPr>
          <w:rFonts w:ascii="Arial" w:hAnsi="Arial"/>
        </w:rPr>
        <w:t>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535B16" w:rsidRDefault="00535B16" w:rsidP="00535B16">
      <w:pPr>
        <w:ind w:left="1440"/>
        <w:rPr>
          <w:rFonts w:ascii="Arial" w:hAnsi="Arial"/>
        </w:rPr>
      </w:pPr>
    </w:p>
    <w:p w:rsidR="000C4AA7" w:rsidRPr="006B01D5" w:rsidRDefault="000C4AA7" w:rsidP="00535B16">
      <w:pPr>
        <w:ind w:left="2880" w:hanging="1440"/>
        <w:rPr>
          <w:rFonts w:ascii="Arial" w:hAnsi="Arial"/>
        </w:rPr>
      </w:pPr>
      <w:r w:rsidRPr="006B01D5">
        <w:rPr>
          <w:rFonts w:ascii="Arial" w:hAnsi="Arial"/>
        </w:rPr>
        <w:t>Authority</w:t>
      </w:r>
      <w:r w:rsidR="006B01D5" w:rsidRPr="006B01D5">
        <w:rPr>
          <w:rFonts w:ascii="Arial" w:hAnsi="Arial"/>
        </w:rPr>
        <w:t xml:space="preserve">: </w:t>
      </w:r>
      <w:r w:rsidR="00535B16">
        <w:rPr>
          <w:rFonts w:ascii="Arial" w:hAnsi="Arial"/>
        </w:rPr>
        <w:tab/>
      </w:r>
      <w:r w:rsidR="006B01D5" w:rsidRPr="006B01D5">
        <w:rPr>
          <w:rFonts w:ascii="Arial" w:hAnsi="Arial"/>
        </w:rPr>
        <w:t>Public Resources Code section 21065 and Title 14, California Code of Regulations, sections 15060 (c</w:t>
      </w:r>
      <w:proofErr w:type="gramStart"/>
      <w:r w:rsidR="006B01D5" w:rsidRPr="006B01D5">
        <w:rPr>
          <w:rFonts w:ascii="Arial" w:hAnsi="Arial"/>
        </w:rPr>
        <w:t>)(</w:t>
      </w:r>
      <w:proofErr w:type="gramEnd"/>
      <w:r w:rsidR="006B01D5" w:rsidRPr="006B01D5">
        <w:rPr>
          <w:rFonts w:ascii="Arial" w:hAnsi="Arial"/>
        </w:rPr>
        <w:t>3) and 15378</w:t>
      </w:r>
    </w:p>
    <w:p w:rsidR="000C4AA7" w:rsidRDefault="000C4AA7" w:rsidP="000C2AC0">
      <w:pPr>
        <w:ind w:left="1440"/>
        <w:rPr>
          <w:rFonts w:ascii="Arial" w:hAnsi="Arial"/>
        </w:rPr>
      </w:pPr>
    </w:p>
    <w:p w:rsidR="000C4AA7" w:rsidRDefault="006B01D5" w:rsidP="000C2AC0">
      <w:pPr>
        <w:numPr>
          <w:ilvl w:val="0"/>
          <w:numId w:val="1"/>
        </w:numPr>
        <w:ind w:left="1440" w:hanging="720"/>
        <w:rPr>
          <w:rFonts w:ascii="Arial" w:hAnsi="Arial"/>
        </w:rPr>
      </w:pPr>
      <w:r>
        <w:rPr>
          <w:rFonts w:ascii="Arial" w:hAnsi="Arial"/>
        </w:rPr>
        <w:t>This activity involves lands identified as possessing significant environmental values pursuant to Public Resources Code sections 6370, et seq., but such activity will not affect those significant lands.</w:t>
      </w:r>
    </w:p>
    <w:p w:rsidR="006A2A90" w:rsidRDefault="006A2A90" w:rsidP="000C2AC0">
      <w:pPr>
        <w:ind w:left="720"/>
        <w:rPr>
          <w:rFonts w:ascii="Arial" w:hAnsi="Arial"/>
        </w:rPr>
      </w:pPr>
    </w:p>
    <w:p w:rsidR="000C4AA7" w:rsidRDefault="006A2A90" w:rsidP="00535B16">
      <w:pPr>
        <w:pStyle w:val="BodyTextIndent"/>
        <w:tabs>
          <w:tab w:val="clear" w:pos="4680"/>
          <w:tab w:val="left" w:pos="2880"/>
        </w:tabs>
        <w:ind w:left="2592" w:hanging="1152"/>
      </w:pPr>
      <w:r>
        <w:t xml:space="preserve">Authority:  </w:t>
      </w:r>
      <w:r w:rsidR="00535B16">
        <w:tab/>
      </w:r>
      <w:r w:rsidR="00535B16">
        <w:tab/>
      </w:r>
      <w:r w:rsidR="006B01D5">
        <w:t xml:space="preserve">Public Resources Code sections </w:t>
      </w:r>
      <w:r w:rsidR="000C2AC0">
        <w:t>6370 et</w:t>
      </w:r>
      <w:r w:rsidR="006B01D5">
        <w:t xml:space="preserve"> seq.</w:t>
      </w:r>
    </w:p>
    <w:p w:rsidR="00AC2AD4" w:rsidRDefault="00AC2AD4" w:rsidP="000C2AC0">
      <w:pPr>
        <w:pStyle w:val="BodyTextIndent"/>
        <w:ind w:left="2592" w:hanging="1152"/>
      </w:pPr>
    </w:p>
    <w:p w:rsidR="006A2A90" w:rsidRDefault="006A2A90" w:rsidP="000C2AC0">
      <w:pPr>
        <w:tabs>
          <w:tab w:val="left" w:pos="-1080"/>
          <w:tab w:val="left" w:pos="-720"/>
          <w:tab w:val="left" w:pos="720"/>
          <w:tab w:val="left" w:pos="1320"/>
          <w:tab w:val="left" w:pos="2610"/>
          <w:tab w:val="left" w:pos="4680"/>
          <w:tab w:val="left" w:pos="7560"/>
        </w:tabs>
        <w:rPr>
          <w:rFonts w:ascii="Arial" w:hAnsi="Arial"/>
        </w:rPr>
      </w:pPr>
      <w:r>
        <w:rPr>
          <w:rFonts w:ascii="Arial" w:hAnsi="Arial"/>
          <w:b/>
        </w:rPr>
        <w:t>EXHIBITS:</w:t>
      </w:r>
    </w:p>
    <w:p w:rsidR="006A2A90" w:rsidRDefault="006A2A90" w:rsidP="000C2AC0">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A</w:t>
      </w:r>
      <w:r w:rsidR="002A4BA0">
        <w:rPr>
          <w:rFonts w:ascii="Arial" w:hAnsi="Arial"/>
        </w:rPr>
        <w:t>1</w:t>
      </w:r>
      <w:r>
        <w:rPr>
          <w:rFonts w:ascii="Arial" w:hAnsi="Arial"/>
        </w:rPr>
        <w:t>.</w:t>
      </w:r>
      <w:r>
        <w:rPr>
          <w:rFonts w:ascii="Arial" w:hAnsi="Arial"/>
        </w:rPr>
        <w:tab/>
        <w:t>Land Description</w:t>
      </w:r>
      <w:r w:rsidR="002A4BA0">
        <w:rPr>
          <w:rFonts w:ascii="Arial" w:hAnsi="Arial"/>
        </w:rPr>
        <w:t xml:space="preserve"> – PRC 7911</w:t>
      </w:r>
      <w:r w:rsidR="00E70E8A">
        <w:rPr>
          <w:rFonts w:ascii="Arial" w:hAnsi="Arial"/>
        </w:rPr>
        <w:t>.1</w:t>
      </w:r>
    </w:p>
    <w:p w:rsidR="002A4BA0" w:rsidRDefault="002A4BA0" w:rsidP="000C2AC0">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A2.</w:t>
      </w:r>
      <w:r>
        <w:rPr>
          <w:rFonts w:ascii="Arial" w:hAnsi="Arial"/>
        </w:rPr>
        <w:tab/>
        <w:t>Land Descrip</w:t>
      </w:r>
      <w:r w:rsidR="00675009">
        <w:rPr>
          <w:rFonts w:ascii="Arial" w:hAnsi="Arial"/>
        </w:rPr>
        <w:t>t</w:t>
      </w:r>
      <w:r>
        <w:rPr>
          <w:rFonts w:ascii="Arial" w:hAnsi="Arial"/>
        </w:rPr>
        <w:t>ion – PRC 4000</w:t>
      </w:r>
      <w:r w:rsidR="00E70E8A">
        <w:rPr>
          <w:rFonts w:ascii="Arial" w:hAnsi="Arial"/>
        </w:rPr>
        <w:t>.1</w:t>
      </w:r>
    </w:p>
    <w:p w:rsidR="006A2A90" w:rsidRDefault="006A2A90" w:rsidP="000C2AC0">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B.</w:t>
      </w:r>
      <w:r>
        <w:rPr>
          <w:rFonts w:ascii="Arial" w:hAnsi="Arial"/>
        </w:rPr>
        <w:tab/>
        <w:t>Location Map</w:t>
      </w:r>
    </w:p>
    <w:p w:rsidR="00755D7A" w:rsidRDefault="00755D7A" w:rsidP="000C2AC0">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C.</w:t>
      </w:r>
      <w:r>
        <w:rPr>
          <w:rFonts w:ascii="Arial" w:hAnsi="Arial"/>
        </w:rPr>
        <w:tab/>
      </w:r>
      <w:r w:rsidR="008B0B2B">
        <w:rPr>
          <w:rFonts w:ascii="Arial" w:hAnsi="Arial"/>
        </w:rPr>
        <w:t>Staff’s September 2008 Letter</w:t>
      </w:r>
    </w:p>
    <w:p w:rsidR="008B0B2B" w:rsidRDefault="008B0B2B" w:rsidP="000C2AC0">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D.</w:t>
      </w:r>
      <w:r>
        <w:rPr>
          <w:rFonts w:ascii="Arial" w:hAnsi="Arial"/>
        </w:rPr>
        <w:tab/>
        <w:t xml:space="preserve">Carone’s </w:t>
      </w:r>
      <w:r w:rsidR="008A4E7A">
        <w:rPr>
          <w:rFonts w:ascii="Arial" w:hAnsi="Arial"/>
        </w:rPr>
        <w:t xml:space="preserve">January 2009 </w:t>
      </w:r>
      <w:r>
        <w:rPr>
          <w:rFonts w:ascii="Arial" w:hAnsi="Arial"/>
        </w:rPr>
        <w:t>response to Staff’s Letter</w:t>
      </w:r>
    </w:p>
    <w:p w:rsidR="008B0B2B" w:rsidRDefault="008B0B2B" w:rsidP="000C2AC0">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E.</w:t>
      </w:r>
      <w:r>
        <w:rPr>
          <w:rFonts w:ascii="Arial" w:hAnsi="Arial"/>
        </w:rPr>
        <w:tab/>
        <w:t>Staff’s February 2009 Letter</w:t>
      </w:r>
    </w:p>
    <w:p w:rsidR="006A2A90" w:rsidRDefault="006A2A90" w:rsidP="000C2AC0">
      <w:pPr>
        <w:tabs>
          <w:tab w:val="left" w:pos="-1080"/>
          <w:tab w:val="left" w:pos="-720"/>
          <w:tab w:val="left" w:pos="720"/>
          <w:tab w:val="left" w:pos="1320"/>
          <w:tab w:val="left" w:pos="2610"/>
          <w:tab w:val="left" w:pos="4680"/>
          <w:tab w:val="left" w:pos="7560"/>
        </w:tabs>
        <w:rPr>
          <w:rFonts w:ascii="Arial" w:hAnsi="Arial"/>
        </w:rPr>
      </w:pPr>
    </w:p>
    <w:p w:rsidR="00582167" w:rsidRDefault="006A2A90" w:rsidP="000C2AC0">
      <w:pPr>
        <w:tabs>
          <w:tab w:val="left" w:pos="-1080"/>
          <w:tab w:val="left" w:pos="-720"/>
          <w:tab w:val="left" w:pos="720"/>
          <w:tab w:val="left" w:pos="1320"/>
          <w:tab w:val="left" w:pos="2610"/>
          <w:tab w:val="left" w:pos="4680"/>
          <w:tab w:val="left" w:pos="7560"/>
        </w:tabs>
        <w:rPr>
          <w:rFonts w:ascii="Arial" w:hAnsi="Arial"/>
          <w:b/>
        </w:rPr>
      </w:pPr>
      <w:r>
        <w:rPr>
          <w:rFonts w:ascii="Arial" w:hAnsi="Arial"/>
          <w:b/>
        </w:rPr>
        <w:t>PERMIT STREAMLINING ACT DEADLINE:</w:t>
      </w:r>
    </w:p>
    <w:p w:rsidR="006A2A90" w:rsidRDefault="00582167" w:rsidP="000C2AC0">
      <w:pPr>
        <w:tabs>
          <w:tab w:val="left" w:pos="-1080"/>
          <w:tab w:val="left" w:pos="-720"/>
          <w:tab w:val="left" w:pos="720"/>
          <w:tab w:val="left" w:pos="1320"/>
          <w:tab w:val="left" w:pos="2610"/>
          <w:tab w:val="left" w:pos="4680"/>
          <w:tab w:val="left" w:pos="7560"/>
        </w:tabs>
        <w:rPr>
          <w:rFonts w:ascii="Arial" w:hAnsi="Arial"/>
        </w:rPr>
      </w:pPr>
      <w:r>
        <w:rPr>
          <w:rFonts w:ascii="Arial" w:hAnsi="Arial"/>
        </w:rPr>
        <w:tab/>
      </w:r>
      <w:r w:rsidR="006A2A90">
        <w:rPr>
          <w:rFonts w:ascii="Arial" w:hAnsi="Arial"/>
        </w:rPr>
        <w:t>N/A</w:t>
      </w:r>
    </w:p>
    <w:p w:rsidR="006A2A90" w:rsidRDefault="006A2A90" w:rsidP="000C2AC0">
      <w:pPr>
        <w:tabs>
          <w:tab w:val="left" w:pos="-1080"/>
          <w:tab w:val="left" w:pos="-720"/>
          <w:tab w:val="left" w:pos="720"/>
          <w:tab w:val="left" w:pos="1320"/>
          <w:tab w:val="left" w:pos="2610"/>
          <w:tab w:val="left" w:pos="4680"/>
          <w:tab w:val="left" w:pos="7560"/>
        </w:tabs>
        <w:rPr>
          <w:rFonts w:ascii="Arial" w:hAnsi="Arial"/>
        </w:rPr>
      </w:pPr>
    </w:p>
    <w:p w:rsidR="006A2A90" w:rsidRDefault="006A2A90" w:rsidP="000C2AC0">
      <w:pPr>
        <w:tabs>
          <w:tab w:val="left" w:pos="-1080"/>
          <w:tab w:val="left" w:pos="-720"/>
          <w:tab w:val="left" w:pos="720"/>
          <w:tab w:val="left" w:pos="1320"/>
          <w:tab w:val="left" w:pos="2610"/>
          <w:tab w:val="left" w:pos="4680"/>
          <w:tab w:val="left" w:pos="7560"/>
        </w:tabs>
        <w:rPr>
          <w:rFonts w:ascii="Arial" w:hAnsi="Arial"/>
        </w:rPr>
      </w:pPr>
      <w:r>
        <w:rPr>
          <w:rFonts w:ascii="Arial" w:hAnsi="Arial"/>
          <w:b/>
        </w:rPr>
        <w:lastRenderedPageBreak/>
        <w:t>RECOMMENDED ACTION:</w:t>
      </w:r>
    </w:p>
    <w:p w:rsidR="006A2A90" w:rsidRDefault="006A2A90" w:rsidP="000C2AC0">
      <w:pPr>
        <w:tabs>
          <w:tab w:val="left" w:pos="-1080"/>
          <w:tab w:val="left" w:pos="-720"/>
          <w:tab w:val="left" w:pos="720"/>
          <w:tab w:val="left" w:pos="1320"/>
          <w:tab w:val="left" w:pos="2610"/>
          <w:tab w:val="left" w:pos="4680"/>
          <w:tab w:val="left" w:pos="7560"/>
        </w:tabs>
        <w:rPr>
          <w:rFonts w:ascii="Arial" w:hAnsi="Arial"/>
        </w:rPr>
      </w:pPr>
      <w:r>
        <w:rPr>
          <w:rFonts w:ascii="Arial" w:hAnsi="Arial"/>
        </w:rPr>
        <w:t>IT IS RECOMMENDED THAT THE COMMISSION:</w:t>
      </w:r>
    </w:p>
    <w:p w:rsidR="006A2A90" w:rsidRDefault="006A2A90" w:rsidP="000C2AC0">
      <w:pPr>
        <w:tabs>
          <w:tab w:val="left" w:pos="-1080"/>
          <w:tab w:val="left" w:pos="-720"/>
          <w:tab w:val="left" w:pos="720"/>
          <w:tab w:val="left" w:pos="1320"/>
          <w:tab w:val="left" w:pos="2610"/>
          <w:tab w:val="left" w:pos="4680"/>
          <w:tab w:val="left" w:pos="7560"/>
        </w:tabs>
        <w:rPr>
          <w:rFonts w:ascii="Arial" w:hAnsi="Arial"/>
        </w:rPr>
      </w:pPr>
    </w:p>
    <w:p w:rsidR="006A2A90" w:rsidRDefault="006A2A90" w:rsidP="000C2AC0">
      <w:pPr>
        <w:tabs>
          <w:tab w:val="left" w:pos="-1080"/>
          <w:tab w:val="left" w:pos="-720"/>
          <w:tab w:val="left" w:pos="720"/>
          <w:tab w:val="left" w:pos="1320"/>
          <w:tab w:val="left" w:pos="2610"/>
          <w:tab w:val="left" w:pos="4680"/>
          <w:tab w:val="left" w:pos="7560"/>
        </w:tabs>
        <w:rPr>
          <w:rFonts w:ascii="Arial" w:hAnsi="Arial"/>
        </w:rPr>
      </w:pPr>
      <w:r>
        <w:rPr>
          <w:rFonts w:ascii="Arial" w:hAnsi="Arial"/>
          <w:b/>
        </w:rPr>
        <w:tab/>
        <w:t>CEQA FINDING:</w:t>
      </w:r>
    </w:p>
    <w:p w:rsidR="006A2A90" w:rsidRDefault="006A2A90" w:rsidP="000C2AC0">
      <w:pPr>
        <w:pStyle w:val="BodyTextIndent2"/>
        <w:numPr>
          <w:ilvl w:val="0"/>
          <w:numId w:val="5"/>
        </w:numPr>
        <w:tabs>
          <w:tab w:val="clear" w:pos="1320"/>
          <w:tab w:val="clear" w:pos="2610"/>
          <w:tab w:val="left" w:pos="1440"/>
          <w:tab w:val="left" w:pos="2520"/>
        </w:tabs>
        <w:ind w:left="2160" w:hanging="720"/>
      </w:pPr>
      <w:r>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6B01D5" w:rsidRDefault="006B01D5" w:rsidP="000C2AC0">
      <w:pPr>
        <w:pStyle w:val="BodyTextIndent2"/>
        <w:tabs>
          <w:tab w:val="clear" w:pos="1320"/>
          <w:tab w:val="clear" w:pos="2610"/>
          <w:tab w:val="left" w:pos="1440"/>
          <w:tab w:val="left" w:pos="2520"/>
        </w:tabs>
        <w:ind w:left="2160" w:hanging="720"/>
      </w:pPr>
    </w:p>
    <w:p w:rsidR="006B01D5" w:rsidRDefault="006B01D5" w:rsidP="000C2AC0">
      <w:pPr>
        <w:pStyle w:val="BodyTextIndent2"/>
        <w:numPr>
          <w:ilvl w:val="0"/>
          <w:numId w:val="5"/>
        </w:numPr>
        <w:tabs>
          <w:tab w:val="clear" w:pos="1320"/>
          <w:tab w:val="clear" w:pos="2610"/>
          <w:tab w:val="left" w:pos="1440"/>
          <w:tab w:val="left" w:pos="2520"/>
        </w:tabs>
        <w:ind w:left="2160" w:hanging="720"/>
      </w:pPr>
      <w:r>
        <w:t>FIND THAT THIS ACTIVITY IS CONSISTENT WITH THE USE CLASSIFICATION DESIGNATED BY THE COMMISSION FOR THE LAND PURSUANT TO PUBLIC RESOURCES CODE SECTIONS 6370, ET SEQ.</w:t>
      </w:r>
    </w:p>
    <w:p w:rsidR="006A2A90" w:rsidRDefault="006A2A90" w:rsidP="000C2AC0">
      <w:pPr>
        <w:tabs>
          <w:tab w:val="left" w:pos="-1080"/>
          <w:tab w:val="left" w:pos="-720"/>
          <w:tab w:val="left" w:pos="720"/>
          <w:tab w:val="left" w:pos="1440"/>
          <w:tab w:val="left" w:pos="2160"/>
          <w:tab w:val="left" w:pos="2790"/>
          <w:tab w:val="left" w:pos="4680"/>
          <w:tab w:val="left" w:pos="7560"/>
        </w:tabs>
        <w:ind w:left="1440"/>
        <w:rPr>
          <w:rFonts w:ascii="Arial" w:hAnsi="Arial"/>
        </w:rPr>
      </w:pPr>
    </w:p>
    <w:p w:rsidR="006A2A90" w:rsidRDefault="006A2A90" w:rsidP="000C2AC0">
      <w:pPr>
        <w:tabs>
          <w:tab w:val="left" w:pos="-1080"/>
          <w:tab w:val="left" w:pos="-720"/>
          <w:tab w:val="left" w:pos="720"/>
          <w:tab w:val="left" w:pos="1440"/>
          <w:tab w:val="left" w:pos="2160"/>
          <w:tab w:val="left" w:pos="2790"/>
          <w:tab w:val="left" w:pos="4680"/>
          <w:tab w:val="left" w:pos="7560"/>
        </w:tabs>
        <w:ind w:left="720"/>
        <w:rPr>
          <w:rFonts w:ascii="Arial" w:hAnsi="Arial"/>
          <w:b/>
        </w:rPr>
      </w:pPr>
      <w:r>
        <w:rPr>
          <w:rFonts w:ascii="Arial" w:hAnsi="Arial"/>
          <w:b/>
        </w:rPr>
        <w:t>AUTHORIZATION:</w:t>
      </w:r>
    </w:p>
    <w:p w:rsidR="00E815B6" w:rsidRDefault="00895F86" w:rsidP="000C2AC0">
      <w:pPr>
        <w:pStyle w:val="BodyTextIndent2"/>
        <w:tabs>
          <w:tab w:val="clear" w:pos="1320"/>
          <w:tab w:val="clear" w:pos="2610"/>
          <w:tab w:val="left" w:pos="2160"/>
        </w:tabs>
        <w:ind w:left="2160" w:hanging="720"/>
      </w:pPr>
      <w:r>
        <w:t xml:space="preserve">1. </w:t>
      </w:r>
      <w:r w:rsidR="00582167">
        <w:tab/>
      </w:r>
      <w:r w:rsidR="00943BE0">
        <w:t xml:space="preserve">FIND CARONE PETROLEUM </w:t>
      </w:r>
      <w:r w:rsidR="00AC2AD4">
        <w:t>CORPORATION</w:t>
      </w:r>
      <w:r w:rsidR="00943BE0">
        <w:t>, AS LESSEE, IN DEFAULT UNDER THE OBLIGATIONS OF OIL AND GAS LEASE</w:t>
      </w:r>
      <w:r w:rsidR="00582167">
        <w:t xml:space="preserve"> NO</w:t>
      </w:r>
      <w:r w:rsidR="00943BE0">
        <w:t>S</w:t>
      </w:r>
      <w:r w:rsidR="00582167">
        <w:t>.</w:t>
      </w:r>
      <w:r w:rsidR="00943BE0">
        <w:t xml:space="preserve"> PRC </w:t>
      </w:r>
      <w:r w:rsidR="0025774B">
        <w:t>4000</w:t>
      </w:r>
      <w:r w:rsidR="00943BE0">
        <w:t xml:space="preserve">.1 AND </w:t>
      </w:r>
      <w:r w:rsidR="002F36C8">
        <w:t xml:space="preserve">PRC </w:t>
      </w:r>
      <w:r w:rsidR="0025774B">
        <w:t>7911</w:t>
      </w:r>
      <w:r w:rsidR="00943BE0">
        <w:t>.1, FOR FAILURE TO PURSUE WITH DILIGENCE THE DEVELOPMENT OF THOSE LEASES</w:t>
      </w:r>
      <w:r w:rsidR="008A4E7A">
        <w:t xml:space="preserve"> </w:t>
      </w:r>
    </w:p>
    <w:p w:rsidR="00E815B6" w:rsidRDefault="00E815B6" w:rsidP="000C2AC0">
      <w:pPr>
        <w:pStyle w:val="BodyTextIndent2"/>
        <w:tabs>
          <w:tab w:val="clear" w:pos="1320"/>
          <w:tab w:val="clear" w:pos="2610"/>
          <w:tab w:val="left" w:pos="2160"/>
        </w:tabs>
        <w:ind w:left="2160" w:hanging="720"/>
      </w:pPr>
    </w:p>
    <w:p w:rsidR="002E7DF1" w:rsidRDefault="00AD434C" w:rsidP="000C2AC0">
      <w:pPr>
        <w:pStyle w:val="BodyTextIndent2"/>
        <w:tabs>
          <w:tab w:val="clear" w:pos="1320"/>
          <w:tab w:val="clear" w:pos="2610"/>
          <w:tab w:val="left" w:pos="2160"/>
        </w:tabs>
        <w:ind w:left="2160" w:hanging="720"/>
      </w:pPr>
      <w:r>
        <w:t xml:space="preserve"> 2</w:t>
      </w:r>
      <w:r w:rsidR="00895F86">
        <w:t xml:space="preserve">. </w:t>
      </w:r>
      <w:r w:rsidR="00582167">
        <w:tab/>
      </w:r>
      <w:r w:rsidR="00943BE0">
        <w:t xml:space="preserve">DIRECT STAFF TO ISSUE A DEFAULT NOTICE </w:t>
      </w:r>
      <w:r w:rsidR="008A4E7A">
        <w:t>THAT WILL PROVIDE THAT IF THE DEFAULT IS</w:t>
      </w:r>
      <w:r w:rsidR="00943BE0">
        <w:t xml:space="preserve"> NOT CURED </w:t>
      </w:r>
      <w:r w:rsidR="002F36C8">
        <w:t>BY FULLY COMPLYING WITH THE THREE DEMANDS</w:t>
      </w:r>
      <w:r w:rsidR="00A9408C">
        <w:t xml:space="preserve"> SET FORTH IN THE STAFF LETTER OF SEPTEMBER 30, 2008,</w:t>
      </w:r>
      <w:r w:rsidR="002F36C8">
        <w:t xml:space="preserve"> </w:t>
      </w:r>
      <w:r w:rsidR="00943BE0">
        <w:t xml:space="preserve">WITHIN </w:t>
      </w:r>
      <w:r w:rsidR="008A4E7A">
        <w:t>NINETY (90) DAYS OF THE DEFAULT NOTICE, THE LEASES SHALL BE</w:t>
      </w:r>
      <w:r w:rsidR="00952DF9">
        <w:t xml:space="preserve"> FORFEITED AND</w:t>
      </w:r>
      <w:r w:rsidR="008A4E7A">
        <w:t xml:space="preserve"> CANCELED</w:t>
      </w:r>
      <w:r w:rsidR="00943BE0">
        <w:t>.</w:t>
      </w:r>
    </w:p>
    <w:p w:rsidR="00582167" w:rsidRDefault="00582167" w:rsidP="000C2AC0">
      <w:pPr>
        <w:pStyle w:val="BodyTextIndent2"/>
        <w:tabs>
          <w:tab w:val="clear" w:pos="1320"/>
          <w:tab w:val="clear" w:pos="2610"/>
          <w:tab w:val="left" w:pos="2160"/>
        </w:tabs>
        <w:ind w:left="2160" w:hanging="720"/>
      </w:pPr>
    </w:p>
    <w:p w:rsidR="002E7DF1" w:rsidRDefault="00895F86" w:rsidP="000C2AC0">
      <w:pPr>
        <w:pStyle w:val="BodyTextIndent2"/>
        <w:tabs>
          <w:tab w:val="clear" w:pos="1320"/>
          <w:tab w:val="clear" w:pos="2610"/>
          <w:tab w:val="left" w:pos="2160"/>
        </w:tabs>
        <w:ind w:left="2160" w:hanging="720"/>
      </w:pPr>
      <w:r>
        <w:t xml:space="preserve">3. </w:t>
      </w:r>
      <w:r w:rsidR="00582167">
        <w:tab/>
      </w:r>
      <w:r w:rsidR="00A9408C">
        <w:t>DIRECT STAFF AND THE ATTORNEY GENERAL’S OFFICE TO TAKE ALL OTHER ACTIONS NECESSARY TO CAR</w:t>
      </w:r>
      <w:r w:rsidR="00582167">
        <w:t>RY OUT THE FOREGOING, INCLUDING</w:t>
      </w:r>
      <w:r w:rsidR="002D6839">
        <w:t xml:space="preserve"> </w:t>
      </w:r>
      <w:r w:rsidR="00A9408C">
        <w:t>ACTION TO COMPEL THE LESSEE TO QUITCLAIM OIL AND GAS LEASE</w:t>
      </w:r>
      <w:r w:rsidR="00582167">
        <w:t xml:space="preserve"> NO</w:t>
      </w:r>
      <w:r w:rsidR="00A9408C">
        <w:t>S</w:t>
      </w:r>
      <w:r w:rsidR="00582167">
        <w:t>.</w:t>
      </w:r>
      <w:r w:rsidR="00A9408C">
        <w:t xml:space="preserve"> </w:t>
      </w:r>
      <w:proofErr w:type="gramStart"/>
      <w:r w:rsidR="00A9408C">
        <w:t>PRC 4000</w:t>
      </w:r>
      <w:r w:rsidR="00582167">
        <w:t>.1</w:t>
      </w:r>
      <w:r w:rsidR="00A9408C">
        <w:t xml:space="preserve"> AND </w:t>
      </w:r>
      <w:r w:rsidR="00582167">
        <w:t xml:space="preserve">PRC </w:t>
      </w:r>
      <w:r w:rsidR="00A9408C">
        <w:t>7911</w:t>
      </w:r>
      <w:r w:rsidR="00582167">
        <w:t>.1</w:t>
      </w:r>
      <w:r w:rsidR="002D6839">
        <w:t xml:space="preserve"> TO THE STATE</w:t>
      </w:r>
      <w:r w:rsidR="00A9408C">
        <w:t>.</w:t>
      </w:r>
      <w:proofErr w:type="gramEnd"/>
    </w:p>
    <w:p w:rsidR="002E7DF1" w:rsidRDefault="002E7DF1" w:rsidP="001C4D0D">
      <w:pPr>
        <w:pStyle w:val="BodyTextIndent2"/>
        <w:tabs>
          <w:tab w:val="clear" w:pos="1320"/>
          <w:tab w:val="clear" w:pos="2610"/>
          <w:tab w:val="left" w:pos="1440"/>
          <w:tab w:val="left" w:pos="2520"/>
        </w:tabs>
        <w:spacing w:line="480" w:lineRule="auto"/>
        <w:ind w:left="2160" w:firstLine="0"/>
      </w:pPr>
    </w:p>
    <w:sectPr w:rsidR="002E7DF1" w:rsidSect="0000642E">
      <w:headerReference w:type="default" r:id="rId9"/>
      <w:endnotePr>
        <w:numFmt w:val="decimal"/>
      </w:endnotePr>
      <w:type w:val="continuous"/>
      <w:pgSz w:w="12240" w:h="15840" w:code="1"/>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4C9" w:rsidRDefault="009144C9">
      <w:r>
        <w:separator/>
      </w:r>
    </w:p>
  </w:endnote>
  <w:endnote w:type="continuationSeparator" w:id="1">
    <w:p w:rsidR="009144C9" w:rsidRDefault="00914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C9" w:rsidRDefault="009144C9" w:rsidP="001C4D0D">
    <w:pPr>
      <w:tabs>
        <w:tab w:val="center" w:pos="4680"/>
        <w:tab w:val="right" w:pos="9360"/>
      </w:tabs>
    </w:pPr>
    <w:r>
      <w:tab/>
    </w:r>
    <w:r>
      <w:rPr>
        <w:rFonts w:ascii="Arial" w:hAnsi="Arial"/>
      </w:rPr>
      <w:t>-</w:t>
    </w:r>
    <w:r w:rsidR="001D48C2">
      <w:rPr>
        <w:rStyle w:val="PageNumber"/>
        <w:rFonts w:ascii="Arial" w:hAnsi="Arial"/>
      </w:rPr>
      <w:fldChar w:fldCharType="begin"/>
    </w:r>
    <w:r>
      <w:rPr>
        <w:rStyle w:val="PageNumber"/>
        <w:rFonts w:ascii="Arial" w:hAnsi="Arial"/>
      </w:rPr>
      <w:instrText xml:space="preserve"> PAGE </w:instrText>
    </w:r>
    <w:r w:rsidR="001D48C2">
      <w:rPr>
        <w:rStyle w:val="PageNumber"/>
        <w:rFonts w:ascii="Arial" w:hAnsi="Arial"/>
      </w:rPr>
      <w:fldChar w:fldCharType="separate"/>
    </w:r>
    <w:r w:rsidR="00E83CC5">
      <w:rPr>
        <w:rStyle w:val="PageNumber"/>
        <w:rFonts w:ascii="Arial" w:hAnsi="Arial"/>
        <w:noProof/>
      </w:rPr>
      <w:t>3</w:t>
    </w:r>
    <w:r w:rsidR="001D48C2">
      <w:rPr>
        <w:rStyle w:val="PageNumber"/>
        <w:rFonts w:ascii="Arial" w:hAnsi="Arial"/>
      </w:rPr>
      <w:fldChar w:fldCharType="end"/>
    </w:r>
    <w:r>
      <w:rPr>
        <w:rStyle w:val="PageNumber"/>
        <w:rFonts w:ascii="Arial" w:hAnsi="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4C9" w:rsidRDefault="009144C9">
      <w:r>
        <w:separator/>
      </w:r>
    </w:p>
  </w:footnote>
  <w:footnote w:type="continuationSeparator" w:id="1">
    <w:p w:rsidR="009144C9" w:rsidRDefault="00914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C9" w:rsidRDefault="009144C9">
    <w:pPr>
      <w:tabs>
        <w:tab w:val="center" w:pos="4680"/>
        <w:tab w:val="left" w:pos="7560"/>
      </w:tabs>
      <w:rPr>
        <w:rFonts w:ascii="Arial" w:hAnsi="Arial"/>
        <w:u w:val="single"/>
      </w:rPr>
    </w:pPr>
    <w:r>
      <w:tab/>
    </w:r>
    <w:r>
      <w:rPr>
        <w:rFonts w:ascii="Arial" w:hAnsi="Arial"/>
        <w:u w:val="single"/>
      </w:rPr>
      <w:t xml:space="preserve">CALENDAR ITEM NO. </w:t>
    </w:r>
    <w:r w:rsidR="00D46011">
      <w:rPr>
        <w:rFonts w:ascii="Arial" w:hAnsi="Arial"/>
        <w:b/>
        <w:sz w:val="36"/>
        <w:u w:val="single"/>
      </w:rPr>
      <w:t>41</w:t>
    </w:r>
    <w:r>
      <w:rPr>
        <w:rFonts w:ascii="Arial" w:hAnsi="Arial"/>
        <w:b/>
        <w:u w:val="single"/>
      </w:rPr>
      <w:t xml:space="preserve">   </w:t>
    </w:r>
    <w:r>
      <w:rPr>
        <w:rFonts w:ascii="Arial" w:hAnsi="Arial"/>
        <w:u w:val="single"/>
      </w:rPr>
      <w:t xml:space="preserve"> (CONT'D)</w:t>
    </w:r>
  </w:p>
  <w:p w:rsidR="009144C9" w:rsidRDefault="009144C9">
    <w:pPr>
      <w:tabs>
        <w:tab w:val="left" w:pos="-1440"/>
        <w:tab w:val="left" w:pos="-720"/>
        <w:tab w:val="left" w:pos="720"/>
        <w:tab w:val="left" w:pos="1320"/>
        <w:tab w:val="left" w:pos="4680"/>
        <w:tab w:val="left" w:pos="7560"/>
      </w:tabs>
      <w:rPr>
        <w:rFonts w:ascii="Arial" w:hAnsi="Arial"/>
      </w:rPr>
    </w:pPr>
  </w:p>
  <w:p w:rsidR="009144C9" w:rsidRDefault="009144C9">
    <w:pPr>
      <w:spacing w:line="240" w:lineRule="exac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673"/>
    <w:multiLevelType w:val="hybridMultilevel"/>
    <w:tmpl w:val="64EADA6A"/>
    <w:lvl w:ilvl="0" w:tplc="2C3EA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80774D"/>
    <w:multiLevelType w:val="hybridMultilevel"/>
    <w:tmpl w:val="D98A40E8"/>
    <w:lvl w:ilvl="0" w:tplc="838C09EA">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nsid w:val="250B41D4"/>
    <w:multiLevelType w:val="singleLevel"/>
    <w:tmpl w:val="0409000F"/>
    <w:lvl w:ilvl="0">
      <w:start w:val="1"/>
      <w:numFmt w:val="decimal"/>
      <w:lvlText w:val="%1."/>
      <w:lvlJc w:val="left"/>
      <w:pPr>
        <w:ind w:left="720" w:hanging="360"/>
      </w:pPr>
    </w:lvl>
  </w:abstractNum>
  <w:abstractNum w:abstractNumId="3">
    <w:nsid w:val="58323835"/>
    <w:multiLevelType w:val="hybridMultilevel"/>
    <w:tmpl w:val="FB7C7398"/>
    <w:lvl w:ilvl="0" w:tplc="A8A6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F47CA"/>
    <w:multiLevelType w:val="hybridMultilevel"/>
    <w:tmpl w:val="2CF4E7A4"/>
    <w:lvl w:ilvl="0" w:tplc="0540A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16385"/>
  </w:hdrShapeDefaults>
  <w:footnotePr>
    <w:footnote w:id="0"/>
    <w:footnote w:id="1"/>
  </w:footnotePr>
  <w:endnotePr>
    <w:numFmt w:val="decimal"/>
    <w:endnote w:id="0"/>
    <w:endnote w:id="1"/>
  </w:endnotePr>
  <w:compat/>
  <w:rsids>
    <w:rsidRoot w:val="006A2A90"/>
    <w:rsid w:val="00000E45"/>
    <w:rsid w:val="0000642E"/>
    <w:rsid w:val="000116B1"/>
    <w:rsid w:val="0004597A"/>
    <w:rsid w:val="00055F59"/>
    <w:rsid w:val="000927DC"/>
    <w:rsid w:val="000A3B2D"/>
    <w:rsid w:val="000B0EDC"/>
    <w:rsid w:val="000B4B7B"/>
    <w:rsid w:val="000C2AC0"/>
    <w:rsid w:val="000C4AA7"/>
    <w:rsid w:val="000C4C26"/>
    <w:rsid w:val="000C5409"/>
    <w:rsid w:val="001055B9"/>
    <w:rsid w:val="00120145"/>
    <w:rsid w:val="001614C6"/>
    <w:rsid w:val="001660B4"/>
    <w:rsid w:val="001C4D0D"/>
    <w:rsid w:val="001D48C2"/>
    <w:rsid w:val="001F1CE9"/>
    <w:rsid w:val="001F601C"/>
    <w:rsid w:val="002009A0"/>
    <w:rsid w:val="002010CE"/>
    <w:rsid w:val="00221B70"/>
    <w:rsid w:val="00257496"/>
    <w:rsid w:val="0025774B"/>
    <w:rsid w:val="002645CF"/>
    <w:rsid w:val="00273B86"/>
    <w:rsid w:val="0028354F"/>
    <w:rsid w:val="00283A95"/>
    <w:rsid w:val="00284904"/>
    <w:rsid w:val="00286483"/>
    <w:rsid w:val="002A4BA0"/>
    <w:rsid w:val="002B7030"/>
    <w:rsid w:val="002D6839"/>
    <w:rsid w:val="002E6F30"/>
    <w:rsid w:val="002E754B"/>
    <w:rsid w:val="002E7DF1"/>
    <w:rsid w:val="002F36C8"/>
    <w:rsid w:val="00310D24"/>
    <w:rsid w:val="003146E3"/>
    <w:rsid w:val="00364520"/>
    <w:rsid w:val="00366CB7"/>
    <w:rsid w:val="00395581"/>
    <w:rsid w:val="003A0F2F"/>
    <w:rsid w:val="003C0D5F"/>
    <w:rsid w:val="003C43DF"/>
    <w:rsid w:val="003D71D6"/>
    <w:rsid w:val="003F1295"/>
    <w:rsid w:val="003F7221"/>
    <w:rsid w:val="004021C4"/>
    <w:rsid w:val="0040702A"/>
    <w:rsid w:val="0041330B"/>
    <w:rsid w:val="004224AB"/>
    <w:rsid w:val="0044142A"/>
    <w:rsid w:val="00441854"/>
    <w:rsid w:val="004639F4"/>
    <w:rsid w:val="00485C21"/>
    <w:rsid w:val="004945BB"/>
    <w:rsid w:val="00495990"/>
    <w:rsid w:val="004A3E46"/>
    <w:rsid w:val="004B4778"/>
    <w:rsid w:val="004D3E5A"/>
    <w:rsid w:val="004D4DF8"/>
    <w:rsid w:val="004F0247"/>
    <w:rsid w:val="00503FDB"/>
    <w:rsid w:val="00516781"/>
    <w:rsid w:val="005316F4"/>
    <w:rsid w:val="005357AB"/>
    <w:rsid w:val="00535B16"/>
    <w:rsid w:val="00555901"/>
    <w:rsid w:val="00561641"/>
    <w:rsid w:val="0057646A"/>
    <w:rsid w:val="00582167"/>
    <w:rsid w:val="005C5A43"/>
    <w:rsid w:val="005F5915"/>
    <w:rsid w:val="006175A9"/>
    <w:rsid w:val="0062743E"/>
    <w:rsid w:val="006372B9"/>
    <w:rsid w:val="00650455"/>
    <w:rsid w:val="0065069D"/>
    <w:rsid w:val="00654D53"/>
    <w:rsid w:val="00675009"/>
    <w:rsid w:val="00685872"/>
    <w:rsid w:val="006A0B90"/>
    <w:rsid w:val="006A2A90"/>
    <w:rsid w:val="006B01D5"/>
    <w:rsid w:val="006B0BF6"/>
    <w:rsid w:val="006B49AE"/>
    <w:rsid w:val="006E4175"/>
    <w:rsid w:val="00737CC7"/>
    <w:rsid w:val="007420D6"/>
    <w:rsid w:val="00755D7A"/>
    <w:rsid w:val="00766A5F"/>
    <w:rsid w:val="00797E63"/>
    <w:rsid w:val="007D1473"/>
    <w:rsid w:val="007F58F7"/>
    <w:rsid w:val="008151BC"/>
    <w:rsid w:val="0085403E"/>
    <w:rsid w:val="00870D34"/>
    <w:rsid w:val="00880E59"/>
    <w:rsid w:val="00883543"/>
    <w:rsid w:val="00895F86"/>
    <w:rsid w:val="008A4E7A"/>
    <w:rsid w:val="008B0B2B"/>
    <w:rsid w:val="008C02C4"/>
    <w:rsid w:val="008D62E5"/>
    <w:rsid w:val="009144C9"/>
    <w:rsid w:val="0093498C"/>
    <w:rsid w:val="00943BE0"/>
    <w:rsid w:val="00944346"/>
    <w:rsid w:val="009479DB"/>
    <w:rsid w:val="00952DF9"/>
    <w:rsid w:val="00973E15"/>
    <w:rsid w:val="009763A7"/>
    <w:rsid w:val="00980C71"/>
    <w:rsid w:val="009A5C7E"/>
    <w:rsid w:val="00A63106"/>
    <w:rsid w:val="00A6712D"/>
    <w:rsid w:val="00A756B3"/>
    <w:rsid w:val="00A9408C"/>
    <w:rsid w:val="00A976FA"/>
    <w:rsid w:val="00AB7DE3"/>
    <w:rsid w:val="00AC2AD4"/>
    <w:rsid w:val="00AD434C"/>
    <w:rsid w:val="00AE077A"/>
    <w:rsid w:val="00AE6D6A"/>
    <w:rsid w:val="00AF0E27"/>
    <w:rsid w:val="00B05D19"/>
    <w:rsid w:val="00B106B6"/>
    <w:rsid w:val="00B2078A"/>
    <w:rsid w:val="00B254BB"/>
    <w:rsid w:val="00B268DD"/>
    <w:rsid w:val="00B632A6"/>
    <w:rsid w:val="00B736F1"/>
    <w:rsid w:val="00B7503B"/>
    <w:rsid w:val="00B87206"/>
    <w:rsid w:val="00BA47C5"/>
    <w:rsid w:val="00BA4D87"/>
    <w:rsid w:val="00BB415B"/>
    <w:rsid w:val="00BB6B68"/>
    <w:rsid w:val="00BC6FA2"/>
    <w:rsid w:val="00BF598D"/>
    <w:rsid w:val="00BF6673"/>
    <w:rsid w:val="00C133C2"/>
    <w:rsid w:val="00C137A0"/>
    <w:rsid w:val="00C34865"/>
    <w:rsid w:val="00C95CDB"/>
    <w:rsid w:val="00C97787"/>
    <w:rsid w:val="00CA25BD"/>
    <w:rsid w:val="00CD76A1"/>
    <w:rsid w:val="00CE78EC"/>
    <w:rsid w:val="00D24455"/>
    <w:rsid w:val="00D301FC"/>
    <w:rsid w:val="00D46011"/>
    <w:rsid w:val="00D60C9F"/>
    <w:rsid w:val="00D619E8"/>
    <w:rsid w:val="00D90207"/>
    <w:rsid w:val="00DB171B"/>
    <w:rsid w:val="00DB7350"/>
    <w:rsid w:val="00DD4D92"/>
    <w:rsid w:val="00DE6867"/>
    <w:rsid w:val="00DF6BAB"/>
    <w:rsid w:val="00E06ED4"/>
    <w:rsid w:val="00E35513"/>
    <w:rsid w:val="00E35AFF"/>
    <w:rsid w:val="00E65966"/>
    <w:rsid w:val="00E70E8A"/>
    <w:rsid w:val="00E75F65"/>
    <w:rsid w:val="00E815B6"/>
    <w:rsid w:val="00E828B1"/>
    <w:rsid w:val="00E839DA"/>
    <w:rsid w:val="00E83CC5"/>
    <w:rsid w:val="00EB5E6F"/>
    <w:rsid w:val="00EC0D17"/>
    <w:rsid w:val="00EC13D9"/>
    <w:rsid w:val="00EC39D8"/>
    <w:rsid w:val="00EF35E0"/>
    <w:rsid w:val="00F45F86"/>
    <w:rsid w:val="00F8034B"/>
    <w:rsid w:val="00F9502F"/>
    <w:rsid w:val="00FC5B9F"/>
    <w:rsid w:val="00FC6B99"/>
    <w:rsid w:val="00FF3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2E"/>
    <w:pPr>
      <w:widowControl w:val="0"/>
    </w:pPr>
    <w:rPr>
      <w:rFonts w:ascii="Courier" w:hAnsi="Courier"/>
      <w:snapToGrid w:val="0"/>
      <w:sz w:val="24"/>
    </w:rPr>
  </w:style>
  <w:style w:type="paragraph" w:styleId="Heading1">
    <w:name w:val="heading 1"/>
    <w:basedOn w:val="Normal"/>
    <w:next w:val="Normal"/>
    <w:qFormat/>
    <w:rsid w:val="0000642E"/>
    <w:pPr>
      <w:keepNext/>
      <w:tabs>
        <w:tab w:val="center" w:pos="4680"/>
        <w:tab w:val="left" w:pos="7560"/>
      </w:tab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642E"/>
  </w:style>
  <w:style w:type="paragraph" w:styleId="Title">
    <w:name w:val="Title"/>
    <w:basedOn w:val="Normal"/>
    <w:qFormat/>
    <w:rsid w:val="0000642E"/>
    <w:pPr>
      <w:tabs>
        <w:tab w:val="center" w:pos="4680"/>
        <w:tab w:val="left" w:pos="7560"/>
      </w:tabs>
      <w:jc w:val="center"/>
    </w:pPr>
    <w:rPr>
      <w:rFonts w:ascii="Arial" w:hAnsi="Arial"/>
      <w:b/>
    </w:rPr>
  </w:style>
  <w:style w:type="paragraph" w:styleId="Header">
    <w:name w:val="header"/>
    <w:basedOn w:val="Normal"/>
    <w:semiHidden/>
    <w:rsid w:val="0000642E"/>
    <w:pPr>
      <w:tabs>
        <w:tab w:val="center" w:pos="4320"/>
        <w:tab w:val="right" w:pos="8640"/>
      </w:tabs>
    </w:pPr>
  </w:style>
  <w:style w:type="paragraph" w:styleId="Footer">
    <w:name w:val="footer"/>
    <w:basedOn w:val="Normal"/>
    <w:semiHidden/>
    <w:rsid w:val="0000642E"/>
    <w:pPr>
      <w:tabs>
        <w:tab w:val="center" w:pos="4320"/>
        <w:tab w:val="right" w:pos="8640"/>
      </w:tabs>
    </w:pPr>
  </w:style>
  <w:style w:type="character" w:styleId="PageNumber">
    <w:name w:val="page number"/>
    <w:basedOn w:val="DefaultParagraphFont"/>
    <w:semiHidden/>
    <w:rsid w:val="0000642E"/>
  </w:style>
  <w:style w:type="paragraph" w:styleId="BodyTextIndent">
    <w:name w:val="Body Text Indent"/>
    <w:basedOn w:val="Normal"/>
    <w:semiHidden/>
    <w:rsid w:val="0000642E"/>
    <w:pPr>
      <w:tabs>
        <w:tab w:val="left" w:pos="-1440"/>
        <w:tab w:val="left" w:pos="-720"/>
        <w:tab w:val="left" w:pos="720"/>
        <w:tab w:val="left" w:pos="4680"/>
        <w:tab w:val="left" w:pos="7560"/>
      </w:tabs>
      <w:ind w:left="720"/>
    </w:pPr>
    <w:rPr>
      <w:rFonts w:ascii="Arial" w:hAnsi="Arial"/>
    </w:rPr>
  </w:style>
  <w:style w:type="paragraph" w:styleId="BodyTextIndent2">
    <w:name w:val="Body Text Indent 2"/>
    <w:basedOn w:val="Normal"/>
    <w:semiHidden/>
    <w:rsid w:val="0000642E"/>
    <w:pPr>
      <w:tabs>
        <w:tab w:val="left" w:pos="-1080"/>
        <w:tab w:val="left" w:pos="-720"/>
        <w:tab w:val="left" w:pos="720"/>
        <w:tab w:val="left" w:pos="1320"/>
        <w:tab w:val="left" w:pos="2610"/>
        <w:tab w:val="left" w:pos="4680"/>
        <w:tab w:val="left" w:pos="7560"/>
      </w:tabs>
      <w:ind w:left="2610" w:hanging="1890"/>
    </w:pPr>
    <w:rPr>
      <w:rFonts w:ascii="Arial" w:hAnsi="Arial"/>
    </w:rPr>
  </w:style>
  <w:style w:type="paragraph" w:styleId="Revision">
    <w:name w:val="Revision"/>
    <w:hidden/>
    <w:uiPriority w:val="99"/>
    <w:semiHidden/>
    <w:rsid w:val="004F0247"/>
    <w:rPr>
      <w:rFonts w:ascii="Courier" w:hAnsi="Courier"/>
      <w:snapToGrid w:val="0"/>
      <w:sz w:val="24"/>
    </w:rPr>
  </w:style>
  <w:style w:type="paragraph" w:styleId="BalloonText">
    <w:name w:val="Balloon Text"/>
    <w:basedOn w:val="Normal"/>
    <w:link w:val="BalloonTextChar"/>
    <w:uiPriority w:val="99"/>
    <w:semiHidden/>
    <w:unhideWhenUsed/>
    <w:rsid w:val="004F0247"/>
    <w:rPr>
      <w:rFonts w:ascii="Tahoma" w:hAnsi="Tahoma" w:cs="Tahoma"/>
      <w:sz w:val="16"/>
      <w:szCs w:val="16"/>
    </w:rPr>
  </w:style>
  <w:style w:type="character" w:customStyle="1" w:styleId="BalloonTextChar">
    <w:name w:val="Balloon Text Char"/>
    <w:basedOn w:val="DefaultParagraphFont"/>
    <w:link w:val="BalloonText"/>
    <w:uiPriority w:val="99"/>
    <w:semiHidden/>
    <w:rsid w:val="004F0247"/>
    <w:rPr>
      <w:rFonts w:ascii="Tahoma" w:hAnsi="Tahoma" w:cs="Tahoma"/>
      <w:snapToGrid w:val="0"/>
      <w:sz w:val="16"/>
      <w:szCs w:val="16"/>
    </w:rPr>
  </w:style>
  <w:style w:type="character" w:styleId="CommentReference">
    <w:name w:val="annotation reference"/>
    <w:basedOn w:val="DefaultParagraphFont"/>
    <w:uiPriority w:val="99"/>
    <w:semiHidden/>
    <w:unhideWhenUsed/>
    <w:rsid w:val="009A5C7E"/>
    <w:rPr>
      <w:sz w:val="16"/>
      <w:szCs w:val="16"/>
    </w:rPr>
  </w:style>
  <w:style w:type="paragraph" w:styleId="CommentText">
    <w:name w:val="annotation text"/>
    <w:basedOn w:val="Normal"/>
    <w:link w:val="CommentTextChar"/>
    <w:uiPriority w:val="99"/>
    <w:semiHidden/>
    <w:unhideWhenUsed/>
    <w:rsid w:val="009A5C7E"/>
    <w:rPr>
      <w:sz w:val="20"/>
    </w:rPr>
  </w:style>
  <w:style w:type="character" w:customStyle="1" w:styleId="CommentTextChar">
    <w:name w:val="Comment Text Char"/>
    <w:basedOn w:val="DefaultParagraphFont"/>
    <w:link w:val="CommentText"/>
    <w:uiPriority w:val="99"/>
    <w:semiHidden/>
    <w:rsid w:val="009A5C7E"/>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9A5C7E"/>
    <w:rPr>
      <w:b/>
      <w:bCs/>
    </w:rPr>
  </w:style>
  <w:style w:type="character" w:customStyle="1" w:styleId="CommentSubjectChar">
    <w:name w:val="Comment Subject Char"/>
    <w:basedOn w:val="CommentTextChar"/>
    <w:link w:val="CommentSubject"/>
    <w:uiPriority w:val="99"/>
    <w:semiHidden/>
    <w:rsid w:val="009A5C7E"/>
    <w:rPr>
      <w:b/>
      <w:bCs/>
    </w:rPr>
  </w:style>
  <w:style w:type="paragraph" w:styleId="ListParagraph">
    <w:name w:val="List Paragraph"/>
    <w:basedOn w:val="Normal"/>
    <w:uiPriority w:val="34"/>
    <w:qFormat/>
    <w:rsid w:val="00A9408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62BC-D8F2-4FCC-A842-E03881C0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3167</Words>
  <Characters>16512</Characters>
  <Application>Microsoft Office Word</Application>
  <DocSecurity>0</DocSecurity>
  <Lines>137</Lines>
  <Paragraphs>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Quitclaim Deed</vt:lpstr>
      <vt:lpstr>CONSIDER FINDING CARONE PETROLEUM CORPORATION </vt:lpstr>
      <vt:lpstr>IN DEFAULT OF SUBSURFACE (NO SURFACE USE) </vt:lpstr>
      <vt:lpstr>OIL AND GAS LEASE NOS. PRC 7911.1 AND PRC 4000.1,</vt:lpstr>
    </vt:vector>
  </TitlesOfParts>
  <Company>CA State Lands Commission</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 Deed</dc:title>
  <dc:subject/>
  <dc:creator>Administrator</dc:creator>
  <cp:keywords/>
  <cp:lastModifiedBy>Alicia Sabry</cp:lastModifiedBy>
  <cp:revision>3</cp:revision>
  <cp:lastPrinted>2009-05-26T22:27:00Z</cp:lastPrinted>
  <dcterms:created xsi:type="dcterms:W3CDTF">2009-05-26T22:26:00Z</dcterms:created>
  <dcterms:modified xsi:type="dcterms:W3CDTF">2009-05-26T22:31:00Z</dcterms:modified>
</cp:coreProperties>
</file>