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58" w:rsidRDefault="00266058">
      <w:pPr>
        <w:pStyle w:val="Heading1"/>
        <w:jc w:val="center"/>
      </w:pPr>
      <w:r>
        <w:t>CALENDAR ITEM</w:t>
      </w:r>
    </w:p>
    <w:p w:rsidR="00266058" w:rsidRDefault="00266058">
      <w:pPr>
        <w:pStyle w:val="Heading3"/>
      </w:pPr>
      <w:r>
        <w:t>C</w:t>
      </w:r>
      <w:r w:rsidR="009E09E9">
        <w:t>33</w:t>
      </w:r>
    </w:p>
    <w:p w:rsidR="00266058" w:rsidRDefault="00266058">
      <w:pPr>
        <w:tabs>
          <w:tab w:val="left" w:pos="-1440"/>
          <w:tab w:val="left" w:pos="-720"/>
          <w:tab w:val="left" w:pos="0"/>
          <w:tab w:val="left" w:pos="720"/>
          <w:tab w:val="right" w:pos="9360"/>
        </w:tabs>
      </w:pPr>
    </w:p>
    <w:p w:rsidR="00266058" w:rsidRDefault="00266058">
      <w:pPr>
        <w:tabs>
          <w:tab w:val="left" w:pos="-1440"/>
          <w:tab w:val="left" w:pos="-720"/>
          <w:tab w:val="left" w:pos="0"/>
          <w:tab w:val="left" w:pos="720"/>
          <w:tab w:val="right" w:pos="9360"/>
        </w:tabs>
      </w:pPr>
      <w:r>
        <w:t>A</w:t>
      </w:r>
      <w:r>
        <w:tab/>
      </w:r>
      <w:r w:rsidR="00A20ABB">
        <w:t>)</w:t>
      </w:r>
      <w:r>
        <w:tab/>
      </w:r>
      <w:r w:rsidR="002953F5">
        <w:t>0</w:t>
      </w:r>
      <w:r>
        <w:t>4/</w:t>
      </w:r>
      <w:r w:rsidR="00E20EED">
        <w:t>09/09</w:t>
      </w:r>
    </w:p>
    <w:p w:rsidR="00A20ABB" w:rsidRDefault="00266058">
      <w:pPr>
        <w:tabs>
          <w:tab w:val="left" w:pos="-1440"/>
          <w:tab w:val="left" w:pos="-720"/>
          <w:tab w:val="left" w:pos="0"/>
          <w:tab w:val="left" w:pos="720"/>
          <w:tab w:val="right" w:pos="9360"/>
        </w:tabs>
      </w:pPr>
      <w:r>
        <w:tab/>
      </w:r>
      <w:r w:rsidR="000D2D00">
        <w:fldChar w:fldCharType="begin">
          <w:ffData>
            <w:name w:val="Text1"/>
            <w:enabled/>
            <w:calcOnExit w:val="0"/>
            <w:statusText w:type="text" w:val="Type in the &quot;Assembly Number(s)&quot; then Press Tab to reach the next field."/>
            <w:textInput/>
          </w:ffData>
        </w:fldChar>
      </w:r>
      <w:r w:rsidR="00A20ABB">
        <w:instrText xml:space="preserve"> FORMTEXT </w:instrText>
      </w:r>
      <w:r w:rsidR="000D2D00">
        <w:fldChar w:fldCharType="separate"/>
      </w:r>
      <w:r w:rsidR="00A20ABB">
        <w:rPr>
          <w:noProof/>
        </w:rPr>
        <w:t>Statewide</w:t>
      </w:r>
      <w:r w:rsidR="000D2D00">
        <w:fldChar w:fldCharType="end"/>
      </w:r>
      <w:r>
        <w:tab/>
      </w:r>
      <w:r w:rsidR="00583982">
        <w:t xml:space="preserve"> </w:t>
      </w:r>
    </w:p>
    <w:p w:rsidR="00266058" w:rsidRDefault="00A20ABB" w:rsidP="00480B28">
      <w:pPr>
        <w:tabs>
          <w:tab w:val="left" w:pos="-1440"/>
          <w:tab w:val="left" w:pos="-720"/>
          <w:tab w:val="left" w:pos="0"/>
          <w:tab w:val="left" w:pos="720"/>
          <w:tab w:val="right" w:pos="9360"/>
        </w:tabs>
      </w:pPr>
      <w:r>
        <w:t>S</w:t>
      </w:r>
      <w:r>
        <w:tab/>
        <w:t>)</w:t>
      </w:r>
      <w:r>
        <w:tab/>
      </w:r>
      <w:r w:rsidR="00480B28">
        <w:t>C</w:t>
      </w:r>
      <w:r w:rsidR="00266058">
        <w:t>200</w:t>
      </w:r>
      <w:r w:rsidR="000512E8">
        <w:t>8</w:t>
      </w:r>
      <w:r w:rsidR="00774330">
        <w:t>-</w:t>
      </w:r>
      <w:r w:rsidR="000512E8">
        <w:t>57</w:t>
      </w:r>
      <w:r w:rsidR="00266058">
        <w:t xml:space="preserve"> </w:t>
      </w:r>
    </w:p>
    <w:p w:rsidR="00266058" w:rsidRDefault="00266058">
      <w:pPr>
        <w:pStyle w:val="Header"/>
        <w:tabs>
          <w:tab w:val="clear" w:pos="4320"/>
          <w:tab w:val="clear" w:pos="8640"/>
          <w:tab w:val="left" w:pos="-1440"/>
          <w:tab w:val="left" w:pos="-720"/>
          <w:tab w:val="left" w:pos="0"/>
          <w:tab w:val="left" w:pos="720"/>
          <w:tab w:val="right" w:pos="9360"/>
        </w:tabs>
      </w:pPr>
      <w:r>
        <w:tab/>
      </w:r>
      <w:r>
        <w:tab/>
        <w:t>D. Brown</w:t>
      </w:r>
      <w:r w:rsidR="005863CE">
        <w:t xml:space="preserve">, </w:t>
      </w:r>
      <w:r>
        <w:t xml:space="preserve">A. </w:t>
      </w:r>
      <w:proofErr w:type="spellStart"/>
      <w:r>
        <w:t>Abeleda</w:t>
      </w:r>
      <w:proofErr w:type="spellEnd"/>
    </w:p>
    <w:p w:rsidR="00A20ABB" w:rsidRDefault="00A20ABB"/>
    <w:p w:rsidR="00266058" w:rsidRDefault="00266058">
      <w:pPr>
        <w:pStyle w:val="BodyText2"/>
        <w:rPr>
          <w:sz w:val="24"/>
        </w:rPr>
      </w:pPr>
      <w:r>
        <w:rPr>
          <w:sz w:val="24"/>
        </w:rPr>
        <w:t>REQUEST AUTHORITY FOR THE EXECUTIVE OFFICER TO</w:t>
      </w:r>
    </w:p>
    <w:p w:rsidR="00266058" w:rsidRDefault="00266058">
      <w:pPr>
        <w:pStyle w:val="BodyText2"/>
        <w:rPr>
          <w:sz w:val="24"/>
        </w:rPr>
      </w:pPr>
      <w:r>
        <w:rPr>
          <w:sz w:val="24"/>
        </w:rPr>
        <w:t>EXECUTE</w:t>
      </w:r>
      <w:r w:rsidR="00480B28">
        <w:rPr>
          <w:sz w:val="24"/>
        </w:rPr>
        <w:t xml:space="preserve"> </w:t>
      </w:r>
      <w:r>
        <w:rPr>
          <w:sz w:val="24"/>
        </w:rPr>
        <w:t>AGREEMENT</w:t>
      </w:r>
      <w:r w:rsidR="000512E8">
        <w:rPr>
          <w:sz w:val="24"/>
        </w:rPr>
        <w:t xml:space="preserve"> </w:t>
      </w:r>
      <w:r>
        <w:rPr>
          <w:sz w:val="24"/>
        </w:rPr>
        <w:t>FOR</w:t>
      </w:r>
      <w:r w:rsidR="00480B28">
        <w:rPr>
          <w:sz w:val="24"/>
        </w:rPr>
        <w:t xml:space="preserve"> </w:t>
      </w:r>
      <w:r w:rsidR="000512E8">
        <w:rPr>
          <w:sz w:val="24"/>
        </w:rPr>
        <w:t>GEOGRAPHICAL INFORMATION SERVICES</w:t>
      </w:r>
    </w:p>
    <w:p w:rsidR="00480B28" w:rsidRDefault="00480B28">
      <w:pPr>
        <w:rPr>
          <w:b/>
        </w:rPr>
      </w:pPr>
    </w:p>
    <w:p w:rsidR="00266058" w:rsidRDefault="00266058">
      <w:r>
        <w:rPr>
          <w:b/>
        </w:rPr>
        <w:t>PARTY</w:t>
      </w:r>
      <w:r>
        <w:t>:</w:t>
      </w:r>
    </w:p>
    <w:p w:rsidR="00266058" w:rsidRDefault="00266058" w:rsidP="009259C6">
      <w:r>
        <w:t>California State Lands Commission</w:t>
      </w:r>
    </w:p>
    <w:p w:rsidR="00266058" w:rsidRDefault="00266058" w:rsidP="009259C6">
      <w:r>
        <w:t>100 Howe Avenue, Suite-100 South</w:t>
      </w:r>
    </w:p>
    <w:p w:rsidR="00266058" w:rsidRDefault="00266058" w:rsidP="009259C6">
      <w:r>
        <w:t>Sacramento, CA 95825-8202</w:t>
      </w:r>
    </w:p>
    <w:p w:rsidR="00266058" w:rsidRDefault="00266058">
      <w:pPr>
        <w:pStyle w:val="Header"/>
        <w:tabs>
          <w:tab w:val="clear" w:pos="4320"/>
          <w:tab w:val="clear" w:pos="8640"/>
        </w:tabs>
      </w:pPr>
    </w:p>
    <w:p w:rsidR="000512E8" w:rsidRDefault="000512E8">
      <w:pPr>
        <w:rPr>
          <w:b/>
        </w:rPr>
      </w:pPr>
      <w:r>
        <w:rPr>
          <w:b/>
        </w:rPr>
        <w:t>BACKGROUND</w:t>
      </w:r>
    </w:p>
    <w:p w:rsidR="000512E8" w:rsidRDefault="000512E8"/>
    <w:p w:rsidR="000512E8" w:rsidRPr="000512E8" w:rsidRDefault="000512E8">
      <w:r>
        <w:t xml:space="preserve">The Commission has jurisdiction and management over the State’s navigable and tidal waterways as well as certain lands granted to the State of California by the federal government under various Acts of Congress.  Public and private entities may apply to the Commission for leases or permits on State lands for a variety of purposes.  The Commission currently has over 4,000 such leases statewide.  Current capabilities do not allow staff of the Commission or other agencies determine where these leases are in any spatially referenced format that can be displayed graphically.  Such geo-referenced information would be of extensive use and value to Commission land managers, planners, </w:t>
      </w:r>
      <w:proofErr w:type="gramStart"/>
      <w:r>
        <w:t>other</w:t>
      </w:r>
      <w:proofErr w:type="gramEnd"/>
      <w:r>
        <w:t xml:space="preserve"> resource agencies at all levels of government and the public.</w:t>
      </w:r>
    </w:p>
    <w:p w:rsidR="000512E8" w:rsidRDefault="000512E8">
      <w:r w:rsidRPr="000512E8">
        <w:t xml:space="preserve">Such information will allow </w:t>
      </w:r>
      <w:r>
        <w:t>staff to readily identify</w:t>
      </w:r>
      <w:r w:rsidR="00694F0C">
        <w:t xml:space="preserve"> general locations of leases and structures that have been authorized by the Commission.</w:t>
      </w:r>
    </w:p>
    <w:p w:rsidR="009E09E9" w:rsidRDefault="009E09E9"/>
    <w:p w:rsidR="009E09E9" w:rsidRPr="000512E8" w:rsidRDefault="009E09E9">
      <w:r>
        <w:t>As part of mitigation of environmental impacts pursuant to lease PRC 7163.1 and 7162.1, the lessee, Exxon USA, provided funding for the development of a geographic information system to evaluate onshore and offshore coastal resources.  Principal and accumulated interest now totals $120.000.  Staff believes the proposed activity is consistent with the purpose of these funds.</w:t>
      </w:r>
    </w:p>
    <w:p w:rsidR="000512E8" w:rsidRDefault="000512E8">
      <w:pPr>
        <w:rPr>
          <w:b/>
        </w:rPr>
      </w:pPr>
    </w:p>
    <w:p w:rsidR="00266058" w:rsidRDefault="00266058">
      <w:pPr>
        <w:rPr>
          <w:b/>
        </w:rPr>
      </w:pPr>
      <w:r>
        <w:rPr>
          <w:b/>
        </w:rPr>
        <w:t>PROPOSED ACTIVITY</w:t>
      </w:r>
    </w:p>
    <w:p w:rsidR="00252120" w:rsidRDefault="00252120" w:rsidP="00482C4D">
      <w:pPr>
        <w:pStyle w:val="BodyTextIndent"/>
        <w:ind w:left="0"/>
      </w:pPr>
      <w:r>
        <w:t xml:space="preserve">The Executive Officer requests authority to execute </w:t>
      </w:r>
      <w:r w:rsidR="000512E8">
        <w:t xml:space="preserve">an </w:t>
      </w:r>
      <w:r>
        <w:t xml:space="preserve">Agreement </w:t>
      </w:r>
      <w:r w:rsidR="000512E8">
        <w:t>for preparing geographical information files identifying the location of Commission leases along the California coast and bays.</w:t>
      </w:r>
      <w:r>
        <w:t xml:space="preserve"> </w:t>
      </w:r>
      <w:r w:rsidR="00694F0C">
        <w:t xml:space="preserve">  The contractor will be using the existing information in the Commission’s databases as a basis for a “shape file” or layer that can be used in conjunction with extensive</w:t>
      </w:r>
      <w:r w:rsidR="009E09E9">
        <w:t xml:space="preserve"> biological and geological</w:t>
      </w:r>
      <w:r w:rsidR="00694F0C">
        <w:t xml:space="preserve"> geographic information </w:t>
      </w:r>
      <w:r w:rsidR="009E09E9">
        <w:t xml:space="preserve">layers </w:t>
      </w:r>
      <w:r w:rsidR="00694F0C">
        <w:t>already publically available from other government sources.  Such a layer is a missing link that would greatly facilitate resource managers and land use planners.</w:t>
      </w:r>
    </w:p>
    <w:p w:rsidR="00694F0C" w:rsidRDefault="00694F0C" w:rsidP="00482C4D">
      <w:pPr>
        <w:pStyle w:val="BodyTextIndent"/>
        <w:ind w:left="0"/>
      </w:pPr>
    </w:p>
    <w:p w:rsidR="00694F0C" w:rsidRDefault="00694F0C" w:rsidP="00694F0C">
      <w:r>
        <w:lastRenderedPageBreak/>
        <w:t>An agreement has been negotiated with the Pacific States Marine Fisheries Commission.  With limited existing funding, they will work to create such a layer</w:t>
      </w:r>
      <w:r w:rsidR="00C32266">
        <w:t xml:space="preserve"> indicated in the attached Scope of Work</w:t>
      </w:r>
      <w:r>
        <w:t>.</w:t>
      </w:r>
      <w:r w:rsidR="00C32266">
        <w:t xml:space="preserve">  </w:t>
      </w:r>
    </w:p>
    <w:p w:rsidR="00694F0C" w:rsidRDefault="00694F0C" w:rsidP="00482C4D">
      <w:pPr>
        <w:pStyle w:val="BodyTextIndent"/>
        <w:ind w:left="0"/>
      </w:pPr>
    </w:p>
    <w:p w:rsidR="00266058" w:rsidRDefault="00266058">
      <w:pPr>
        <w:pStyle w:val="Header"/>
        <w:tabs>
          <w:tab w:val="clear" w:pos="4320"/>
          <w:tab w:val="clear" w:pos="8640"/>
        </w:tabs>
      </w:pPr>
    </w:p>
    <w:p w:rsidR="00B142B0" w:rsidRDefault="00B142B0" w:rsidP="00DD4841">
      <w:pPr>
        <w:ind w:left="780"/>
      </w:pPr>
    </w:p>
    <w:p w:rsidR="00C67F67" w:rsidRDefault="00C32266" w:rsidP="00C67F67">
      <w:pPr>
        <w:pStyle w:val="BodyTextIndent3"/>
        <w:ind w:left="0"/>
      </w:pPr>
      <w:r>
        <w:t>A</w:t>
      </w:r>
      <w:r w:rsidR="00C67F67">
        <w:t xml:space="preserve">greement shall be </w:t>
      </w:r>
      <w:r w:rsidR="000C549A">
        <w:t xml:space="preserve">prepared and executed </w:t>
      </w:r>
      <w:r w:rsidR="00C67F67">
        <w:t xml:space="preserve">consistent with State policies and procedures as specified in the State Administrative Manual and State Contract Manual. </w:t>
      </w:r>
      <w:r w:rsidR="003041A5">
        <w:t xml:space="preserve">  Multi-year agreements are subject each year to certification of the availability of funds.</w:t>
      </w:r>
    </w:p>
    <w:p w:rsidR="003C2EDC" w:rsidRDefault="003C2EDC" w:rsidP="00C67F67">
      <w:pPr>
        <w:pStyle w:val="BodyTextIndent3"/>
        <w:ind w:left="0"/>
      </w:pPr>
    </w:p>
    <w:p w:rsidR="00C32266" w:rsidRDefault="00C32266" w:rsidP="00E600A8">
      <w:pPr>
        <w:rPr>
          <w:b/>
        </w:rPr>
      </w:pPr>
      <w:r>
        <w:rPr>
          <w:b/>
        </w:rPr>
        <w:t>EXHIBIT:</w:t>
      </w:r>
    </w:p>
    <w:p w:rsidR="00C32266" w:rsidRPr="00C32266" w:rsidRDefault="00C32266" w:rsidP="00C32266">
      <w:pPr>
        <w:numPr>
          <w:ilvl w:val="0"/>
          <w:numId w:val="13"/>
        </w:numPr>
      </w:pPr>
      <w:r>
        <w:t>Scope of Work</w:t>
      </w:r>
    </w:p>
    <w:p w:rsidR="00C32266" w:rsidRDefault="00C32266" w:rsidP="00E600A8">
      <w:pPr>
        <w:rPr>
          <w:b/>
        </w:rPr>
      </w:pPr>
    </w:p>
    <w:p w:rsidR="00266058" w:rsidRDefault="00266058" w:rsidP="00E600A8">
      <w:r>
        <w:rPr>
          <w:b/>
        </w:rPr>
        <w:t>STATUTORY AND OTHER REFERENCES:</w:t>
      </w:r>
    </w:p>
    <w:p w:rsidR="00266058" w:rsidRDefault="00266058">
      <w:pPr>
        <w:numPr>
          <w:ilvl w:val="0"/>
          <w:numId w:val="6"/>
        </w:numPr>
      </w:pPr>
      <w:r>
        <w:t>Public Resources Code Section 6106 (Delegation to execute written instruments)</w:t>
      </w:r>
    </w:p>
    <w:p w:rsidR="00266058" w:rsidRDefault="00266058">
      <w:pPr>
        <w:numPr>
          <w:ilvl w:val="0"/>
          <w:numId w:val="6"/>
        </w:numPr>
      </w:pPr>
      <w:r>
        <w:t>State Administrative Manual Section 1200</w:t>
      </w:r>
    </w:p>
    <w:p w:rsidR="00266058" w:rsidRDefault="00266058">
      <w:pPr>
        <w:numPr>
          <w:ilvl w:val="0"/>
          <w:numId w:val="6"/>
        </w:numPr>
      </w:pPr>
      <w:r>
        <w:t>State Contracting Manual (rev 1</w:t>
      </w:r>
      <w:r w:rsidR="002953F5">
        <w:t>0</w:t>
      </w:r>
      <w:r>
        <w:t>/0</w:t>
      </w:r>
      <w:r w:rsidR="002953F5">
        <w:t>5</w:t>
      </w:r>
      <w:r>
        <w:t>)</w:t>
      </w:r>
    </w:p>
    <w:p w:rsidR="007A09F9" w:rsidRDefault="007A09F9" w:rsidP="007A09F9">
      <w:pPr>
        <w:ind w:left="720"/>
      </w:pPr>
    </w:p>
    <w:p w:rsidR="00266058" w:rsidRDefault="00266058">
      <w:pPr>
        <w:rPr>
          <w:b/>
        </w:rPr>
      </w:pPr>
      <w:r>
        <w:rPr>
          <w:b/>
        </w:rPr>
        <w:t>RECOMMENDED ACTION:</w:t>
      </w:r>
    </w:p>
    <w:p w:rsidR="00266058" w:rsidRDefault="00266058">
      <w:r>
        <w:t>IT IS RECOMMENDED THAT THE COMMISSION FIND:</w:t>
      </w:r>
    </w:p>
    <w:p w:rsidR="00266058" w:rsidRDefault="00266058" w:rsidP="000574A8">
      <w:pPr>
        <w:pStyle w:val="BodyTextIndent"/>
        <w:numPr>
          <w:ilvl w:val="0"/>
          <w:numId w:val="10"/>
        </w:numPr>
        <w:tabs>
          <w:tab w:val="clear" w:pos="1800"/>
          <w:tab w:val="num" w:pos="720"/>
        </w:tabs>
        <w:ind w:left="720"/>
      </w:pPr>
      <w:r>
        <w:t xml:space="preserve">FIND THAT THESE ACTIVITIES ARE EXEMPT FROM THE REQUIREMENTS OF CEQA PURSUANT TO 14 </w:t>
      </w:r>
      <w:smartTag w:uri="urn:schemas-microsoft-com:office:smarttags" w:element="place">
        <w:smartTag w:uri="urn:schemas-microsoft-com:office:smarttags" w:element="State">
          <w:r>
            <w:t>CAL</w:t>
          </w:r>
        </w:smartTag>
      </w:smartTag>
      <w:r>
        <w:t xml:space="preserve"> CODE REGS. 15060(c</w:t>
      </w:r>
      <w:proofErr w:type="gramStart"/>
      <w:r>
        <w:t>)(</w:t>
      </w:r>
      <w:proofErr w:type="gramEnd"/>
      <w:r>
        <w:t xml:space="preserve">3) BECAUSE THESE ACTIVITIES ARE NOT PROJECTS AS DEFINED BY PUBLIC RESOURCES CODE SECTION 21065 AND 14 </w:t>
      </w:r>
      <w:smartTag w:uri="urn:schemas-microsoft-com:office:smarttags" w:element="place">
        <w:smartTag w:uri="urn:schemas-microsoft-com:office:smarttags" w:element="State">
          <w:r>
            <w:t>CAL</w:t>
          </w:r>
        </w:smartTag>
      </w:smartTag>
      <w:r>
        <w:t xml:space="preserve"> CODE REGS. 15378.</w:t>
      </w:r>
    </w:p>
    <w:p w:rsidR="00266058" w:rsidRDefault="00266058" w:rsidP="000574A8">
      <w:pPr>
        <w:tabs>
          <w:tab w:val="left" w:pos="720"/>
        </w:tabs>
        <w:ind w:left="360"/>
      </w:pPr>
    </w:p>
    <w:p w:rsidR="00252120" w:rsidRDefault="00266058" w:rsidP="00C32266">
      <w:pPr>
        <w:numPr>
          <w:ilvl w:val="0"/>
          <w:numId w:val="10"/>
        </w:numPr>
        <w:tabs>
          <w:tab w:val="clear" w:pos="1800"/>
          <w:tab w:val="num" w:pos="720"/>
        </w:tabs>
        <w:ind w:left="720"/>
      </w:pPr>
      <w:r>
        <w:t xml:space="preserve">AUTHORIZE THE EXECUTIVE OFFICER OR DESIGNEE TO EXECUTE </w:t>
      </w:r>
      <w:r w:rsidR="00C32266">
        <w:t>AN INTERAGENCY AGREEMENT</w:t>
      </w:r>
      <w:r>
        <w:t xml:space="preserve"> IN ACCORDANCE WITH CURRENT STATE POLICIES AND PROCEDURES</w:t>
      </w:r>
      <w:r w:rsidR="00C32266">
        <w:t xml:space="preserve"> NOT TO EXCEED $120,000.</w:t>
      </w:r>
    </w:p>
    <w:p w:rsidR="00252120" w:rsidRDefault="00252120" w:rsidP="000574A8">
      <w:pPr>
        <w:ind w:left="360"/>
      </w:pPr>
    </w:p>
    <w:p w:rsidR="00DE3DB2" w:rsidRDefault="00DE3DB2" w:rsidP="000574A8">
      <w:pPr>
        <w:ind w:left="360"/>
      </w:pPr>
    </w:p>
    <w:p w:rsidR="00266058" w:rsidRDefault="00266058" w:rsidP="000574A8">
      <w:pPr>
        <w:ind w:left="360"/>
      </w:pPr>
    </w:p>
    <w:sectPr w:rsidR="00266058" w:rsidSect="00390074">
      <w:headerReference w:type="default" r:id="rId7"/>
      <w:footerReference w:type="default" r:id="rId8"/>
      <w:footerReference w:type="first" r:id="rId9"/>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0C" w:rsidRDefault="00694F0C">
      <w:r>
        <w:separator/>
      </w:r>
    </w:p>
  </w:endnote>
  <w:endnote w:type="continuationSeparator" w:id="1">
    <w:p w:rsidR="00694F0C" w:rsidRDefault="0069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Default="00694F0C" w:rsidP="00EB25F1">
    <w:pPr>
      <w:tabs>
        <w:tab w:val="center" w:pos="4680"/>
        <w:tab w:val="right" w:pos="9360"/>
      </w:tabs>
      <w:jc w:val="center"/>
      <w:rPr>
        <w:lang w:val="fr-FR"/>
      </w:rPr>
    </w:pPr>
    <w:r>
      <w:rPr>
        <w:lang w:val="fr-FR"/>
      </w:rPr>
      <w:t>-</w:t>
    </w:r>
    <w:r w:rsidR="000D2D00">
      <w:rPr>
        <w:rStyle w:val="PageNumber"/>
      </w:rPr>
      <w:fldChar w:fldCharType="begin"/>
    </w:r>
    <w:r>
      <w:rPr>
        <w:rStyle w:val="PageNumber"/>
        <w:lang w:val="fr-FR"/>
      </w:rPr>
      <w:instrText xml:space="preserve"> PAGE </w:instrText>
    </w:r>
    <w:r w:rsidR="000D2D00">
      <w:rPr>
        <w:rStyle w:val="PageNumber"/>
      </w:rPr>
      <w:fldChar w:fldCharType="separate"/>
    </w:r>
    <w:r w:rsidR="005E3735">
      <w:rPr>
        <w:rStyle w:val="PageNumber"/>
        <w:noProof/>
        <w:lang w:val="fr-FR"/>
      </w:rPr>
      <w:t>2</w:t>
    </w:r>
    <w:r w:rsidR="000D2D00">
      <w:rPr>
        <w:rStyle w:val="PageNumber"/>
      </w:rPr>
      <w:fldChar w:fldCharType="end"/>
    </w:r>
    <w:r>
      <w:rPr>
        <w:rStyle w:val="PageNumber"/>
        <w:lang w:val="fr-FR"/>
      </w:rPr>
      <w:t>-</w:t>
    </w:r>
  </w:p>
  <w:p w:rsidR="00694F0C" w:rsidRDefault="00694F0C" w:rsidP="00EB25F1">
    <w:pPr>
      <w:tabs>
        <w:tab w:val="center" w:pos="4680"/>
        <w:tab w:val="right" w:pos="9360"/>
      </w:tabs>
      <w:rPr>
        <w:lang w:val="fr-FR"/>
      </w:rPr>
    </w:pPr>
  </w:p>
  <w:p w:rsidR="00694F0C" w:rsidRDefault="00694F0C" w:rsidP="00EB25F1">
    <w:pPr>
      <w:pStyle w:val="Footer"/>
    </w:pPr>
  </w:p>
  <w:p w:rsidR="00694F0C" w:rsidRDefault="00694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Default="00694F0C" w:rsidP="00EB25F1">
    <w:pPr>
      <w:tabs>
        <w:tab w:val="center" w:pos="4680"/>
        <w:tab w:val="right" w:pos="9360"/>
      </w:tabs>
      <w:jc w:val="center"/>
      <w:rPr>
        <w:lang w:val="fr-FR"/>
      </w:rPr>
    </w:pPr>
    <w:r>
      <w:rPr>
        <w:lang w:val="fr-FR"/>
      </w:rPr>
      <w:t>-</w:t>
    </w:r>
    <w:r w:rsidR="000D2D00">
      <w:rPr>
        <w:rStyle w:val="PageNumber"/>
      </w:rPr>
      <w:fldChar w:fldCharType="begin"/>
    </w:r>
    <w:r>
      <w:rPr>
        <w:rStyle w:val="PageNumber"/>
        <w:lang w:val="fr-FR"/>
      </w:rPr>
      <w:instrText xml:space="preserve"> PAGE </w:instrText>
    </w:r>
    <w:r w:rsidR="000D2D00">
      <w:rPr>
        <w:rStyle w:val="PageNumber"/>
      </w:rPr>
      <w:fldChar w:fldCharType="separate"/>
    </w:r>
    <w:r w:rsidR="005E3735">
      <w:rPr>
        <w:rStyle w:val="PageNumber"/>
        <w:noProof/>
        <w:lang w:val="fr-FR"/>
      </w:rPr>
      <w:t>1</w:t>
    </w:r>
    <w:r w:rsidR="000D2D00">
      <w:rPr>
        <w:rStyle w:val="PageNumber"/>
      </w:rPr>
      <w:fldChar w:fldCharType="end"/>
    </w:r>
    <w:r>
      <w:rPr>
        <w:rStyle w:val="PageNumber"/>
        <w:lang w:val="fr-FR"/>
      </w:rPr>
      <w:t>-</w:t>
    </w:r>
  </w:p>
  <w:p w:rsidR="00694F0C" w:rsidRDefault="00694F0C" w:rsidP="00EB25F1">
    <w:pPr>
      <w:tabs>
        <w:tab w:val="center" w:pos="4680"/>
        <w:tab w:val="right" w:pos="9360"/>
      </w:tabs>
      <w:rPr>
        <w:lang w:val="fr-FR"/>
      </w:rPr>
    </w:pPr>
  </w:p>
  <w:p w:rsidR="00694F0C" w:rsidRDefault="00694F0C" w:rsidP="00EB25F1">
    <w:pPr>
      <w:pStyle w:val="Footer"/>
    </w:pPr>
  </w:p>
  <w:p w:rsidR="00694F0C" w:rsidRDefault="00694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0C" w:rsidRDefault="00694F0C">
      <w:r>
        <w:separator/>
      </w:r>
    </w:p>
  </w:footnote>
  <w:footnote w:type="continuationSeparator" w:id="1">
    <w:p w:rsidR="00694F0C" w:rsidRDefault="00694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Default="00694F0C">
    <w:pPr>
      <w:tabs>
        <w:tab w:val="center" w:pos="4680"/>
      </w:tabs>
      <w:rPr>
        <w:sz w:val="28"/>
      </w:rPr>
    </w:pPr>
    <w:r>
      <w:rPr>
        <w:sz w:val="28"/>
      </w:rPr>
      <w:tab/>
    </w:r>
  </w:p>
  <w:p w:rsidR="00694F0C" w:rsidRDefault="00694F0C" w:rsidP="00A20ABB">
    <w:pPr>
      <w:tabs>
        <w:tab w:val="center" w:pos="4680"/>
      </w:tabs>
      <w:jc w:val="center"/>
    </w:pPr>
    <w:r>
      <w:rPr>
        <w:u w:val="single"/>
      </w:rPr>
      <w:t>CALENDAR ITEM NO.</w:t>
    </w:r>
    <w:r>
      <w:rPr>
        <w:sz w:val="28"/>
        <w:u w:val="single"/>
      </w:rPr>
      <w:t xml:space="preserve"> </w:t>
    </w:r>
    <w:r>
      <w:rPr>
        <w:b/>
        <w:sz w:val="36"/>
        <w:u w:val="single"/>
      </w:rPr>
      <w:t>C</w:t>
    </w:r>
    <w:r w:rsidR="005E3735">
      <w:rPr>
        <w:b/>
        <w:sz w:val="36"/>
        <w:u w:val="single"/>
      </w:rPr>
      <w:t>33</w:t>
    </w:r>
    <w:r>
      <w:rPr>
        <w:sz w:val="28"/>
        <w:u w:val="single"/>
      </w:rPr>
      <w:t xml:space="preserve"> </w:t>
    </w:r>
    <w:r>
      <w:rPr>
        <w:u w:val="single"/>
      </w:rPr>
      <w:t>(CONT’D</w:t>
    </w:r>
    <w:r>
      <w:t>)</w:t>
    </w:r>
  </w:p>
  <w:p w:rsidR="00694F0C" w:rsidRDefault="00694F0C" w:rsidP="00A20ABB">
    <w:pPr>
      <w:tabs>
        <w:tab w:val="center" w:pos="46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63D"/>
    <w:multiLevelType w:val="singleLevel"/>
    <w:tmpl w:val="C0A658CA"/>
    <w:lvl w:ilvl="0">
      <w:start w:val="1"/>
      <w:numFmt w:val="decimal"/>
      <w:lvlText w:val="%1."/>
      <w:lvlJc w:val="left"/>
      <w:pPr>
        <w:tabs>
          <w:tab w:val="num" w:pos="720"/>
        </w:tabs>
        <w:ind w:left="720" w:hanging="720"/>
      </w:pPr>
      <w:rPr>
        <w:rFonts w:hint="default"/>
      </w:rPr>
    </w:lvl>
  </w:abstractNum>
  <w:abstractNum w:abstractNumId="1">
    <w:nsid w:val="084575DE"/>
    <w:multiLevelType w:val="hybridMultilevel"/>
    <w:tmpl w:val="35EAE006"/>
    <w:lvl w:ilvl="0" w:tplc="CA40749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72191"/>
    <w:multiLevelType w:val="hybridMultilevel"/>
    <w:tmpl w:val="DA50B232"/>
    <w:lvl w:ilvl="0" w:tplc="0B4483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C0286A"/>
    <w:multiLevelType w:val="singleLevel"/>
    <w:tmpl w:val="0409000F"/>
    <w:lvl w:ilvl="0">
      <w:start w:val="1"/>
      <w:numFmt w:val="decimal"/>
      <w:lvlText w:val="%1."/>
      <w:lvlJc w:val="left"/>
      <w:pPr>
        <w:tabs>
          <w:tab w:val="num" w:pos="720"/>
        </w:tabs>
        <w:ind w:left="720" w:hanging="360"/>
      </w:pPr>
    </w:lvl>
  </w:abstractNum>
  <w:abstractNum w:abstractNumId="4">
    <w:nsid w:val="3CF827E0"/>
    <w:multiLevelType w:val="multilevel"/>
    <w:tmpl w:val="1E9A3EB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DD550D3"/>
    <w:multiLevelType w:val="hybridMultilevel"/>
    <w:tmpl w:val="3B00DE60"/>
    <w:lvl w:ilvl="0" w:tplc="36EA12D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FD05DA7"/>
    <w:multiLevelType w:val="singleLevel"/>
    <w:tmpl w:val="53741ACC"/>
    <w:lvl w:ilvl="0">
      <w:start w:val="1"/>
      <w:numFmt w:val="upperLetter"/>
      <w:lvlText w:val="%1."/>
      <w:lvlJc w:val="left"/>
      <w:pPr>
        <w:tabs>
          <w:tab w:val="num" w:pos="720"/>
        </w:tabs>
        <w:ind w:left="720" w:hanging="720"/>
      </w:pPr>
      <w:rPr>
        <w:rFonts w:hint="default"/>
      </w:rPr>
    </w:lvl>
  </w:abstractNum>
  <w:abstractNum w:abstractNumId="7">
    <w:nsid w:val="4D690A27"/>
    <w:multiLevelType w:val="hybridMultilevel"/>
    <w:tmpl w:val="504C0CF4"/>
    <w:lvl w:ilvl="0" w:tplc="FFFFFFFF">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17F2DFE"/>
    <w:multiLevelType w:val="hybridMultilevel"/>
    <w:tmpl w:val="2D3A6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B4C89"/>
    <w:multiLevelType w:val="hybridMultilevel"/>
    <w:tmpl w:val="C61A87AA"/>
    <w:lvl w:ilvl="0" w:tplc="0B4483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DA55D8"/>
    <w:multiLevelType w:val="hybridMultilevel"/>
    <w:tmpl w:val="1E9A3EBE"/>
    <w:lvl w:ilvl="0" w:tplc="FFD8B2F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0525579"/>
    <w:multiLevelType w:val="hybridMultilevel"/>
    <w:tmpl w:val="A96C3A3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12"/>
  </w:num>
  <w:num w:numId="2">
    <w:abstractNumId w:val="6"/>
  </w:num>
  <w:num w:numId="3">
    <w:abstractNumId w:val="0"/>
  </w:num>
  <w:num w:numId="4">
    <w:abstractNumId w:val="3"/>
  </w:num>
  <w:num w:numId="5">
    <w:abstractNumId w:val="10"/>
  </w:num>
  <w:num w:numId="6">
    <w:abstractNumId w:val="4"/>
  </w:num>
  <w:num w:numId="7">
    <w:abstractNumId w:val="1"/>
  </w:num>
  <w:num w:numId="8">
    <w:abstractNumId w:val="7"/>
  </w:num>
  <w:num w:numId="9">
    <w:abstractNumId w:val="2"/>
  </w:num>
  <w:num w:numId="10">
    <w:abstractNumId w:val="9"/>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mirrorMargin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ABB"/>
    <w:rsid w:val="00015ECA"/>
    <w:rsid w:val="00041EB1"/>
    <w:rsid w:val="000512E8"/>
    <w:rsid w:val="000574A8"/>
    <w:rsid w:val="000A3064"/>
    <w:rsid w:val="000B16BA"/>
    <w:rsid w:val="000C549A"/>
    <w:rsid w:val="000D2D00"/>
    <w:rsid w:val="00105760"/>
    <w:rsid w:val="001408C1"/>
    <w:rsid w:val="00195AEE"/>
    <w:rsid w:val="001D19B5"/>
    <w:rsid w:val="001E2035"/>
    <w:rsid w:val="00252120"/>
    <w:rsid w:val="00266058"/>
    <w:rsid w:val="00293475"/>
    <w:rsid w:val="002953F5"/>
    <w:rsid w:val="002D10DE"/>
    <w:rsid w:val="003041A5"/>
    <w:rsid w:val="003367DE"/>
    <w:rsid w:val="00337C1C"/>
    <w:rsid w:val="00390074"/>
    <w:rsid w:val="003C2EDC"/>
    <w:rsid w:val="003E1C34"/>
    <w:rsid w:val="00445250"/>
    <w:rsid w:val="00480B28"/>
    <w:rsid w:val="00482C4D"/>
    <w:rsid w:val="004A1026"/>
    <w:rsid w:val="00583982"/>
    <w:rsid w:val="005863CE"/>
    <w:rsid w:val="005C7C41"/>
    <w:rsid w:val="005E3735"/>
    <w:rsid w:val="005F4CE5"/>
    <w:rsid w:val="00694F0C"/>
    <w:rsid w:val="006A5534"/>
    <w:rsid w:val="006A722C"/>
    <w:rsid w:val="006B39D0"/>
    <w:rsid w:val="006D63A2"/>
    <w:rsid w:val="0075346C"/>
    <w:rsid w:val="00774330"/>
    <w:rsid w:val="007A09F9"/>
    <w:rsid w:val="0084168B"/>
    <w:rsid w:val="00864A3D"/>
    <w:rsid w:val="00895058"/>
    <w:rsid w:val="008B09FC"/>
    <w:rsid w:val="009259C6"/>
    <w:rsid w:val="009263A6"/>
    <w:rsid w:val="00933CC2"/>
    <w:rsid w:val="0095141D"/>
    <w:rsid w:val="009E09E9"/>
    <w:rsid w:val="009E36EF"/>
    <w:rsid w:val="00A20ABB"/>
    <w:rsid w:val="00A551D5"/>
    <w:rsid w:val="00A64C09"/>
    <w:rsid w:val="00AD0368"/>
    <w:rsid w:val="00AF1AA5"/>
    <w:rsid w:val="00B142B0"/>
    <w:rsid w:val="00B75171"/>
    <w:rsid w:val="00B763E6"/>
    <w:rsid w:val="00BA611A"/>
    <w:rsid w:val="00BC66D7"/>
    <w:rsid w:val="00C32266"/>
    <w:rsid w:val="00C67F67"/>
    <w:rsid w:val="00D43259"/>
    <w:rsid w:val="00DD4841"/>
    <w:rsid w:val="00DE3DB2"/>
    <w:rsid w:val="00E20EED"/>
    <w:rsid w:val="00E600A8"/>
    <w:rsid w:val="00EA67D1"/>
    <w:rsid w:val="00EB25F1"/>
    <w:rsid w:val="00ED06A6"/>
    <w:rsid w:val="00F06901"/>
    <w:rsid w:val="00F1270E"/>
    <w:rsid w:val="00F13742"/>
    <w:rsid w:val="00F17535"/>
    <w:rsid w:val="00FB363F"/>
    <w:rsid w:val="00FC0A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250"/>
    <w:rPr>
      <w:rFonts w:ascii="Arial" w:hAnsi="Arial"/>
      <w:sz w:val="24"/>
    </w:rPr>
  </w:style>
  <w:style w:type="paragraph" w:styleId="Heading1">
    <w:name w:val="heading 1"/>
    <w:basedOn w:val="Normal"/>
    <w:next w:val="Normal"/>
    <w:qFormat/>
    <w:rsid w:val="00445250"/>
    <w:pPr>
      <w:keepNext/>
      <w:tabs>
        <w:tab w:val="center" w:pos="4680"/>
        <w:tab w:val="right" w:pos="9360"/>
      </w:tabs>
      <w:outlineLvl w:val="0"/>
    </w:pPr>
    <w:rPr>
      <w:b/>
    </w:rPr>
  </w:style>
  <w:style w:type="paragraph" w:styleId="Heading2">
    <w:name w:val="heading 2"/>
    <w:basedOn w:val="Normal"/>
    <w:next w:val="Normal"/>
    <w:qFormat/>
    <w:rsid w:val="00445250"/>
    <w:pPr>
      <w:keepNext/>
      <w:jc w:val="center"/>
      <w:outlineLvl w:val="1"/>
    </w:pPr>
    <w:rPr>
      <w:b/>
    </w:rPr>
  </w:style>
  <w:style w:type="paragraph" w:styleId="Heading3">
    <w:name w:val="heading 3"/>
    <w:basedOn w:val="Normal"/>
    <w:next w:val="Normal"/>
    <w:qFormat/>
    <w:rsid w:val="00445250"/>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250"/>
    <w:pPr>
      <w:tabs>
        <w:tab w:val="center" w:pos="4320"/>
        <w:tab w:val="right" w:pos="8640"/>
      </w:tabs>
    </w:pPr>
  </w:style>
  <w:style w:type="paragraph" w:styleId="Footer">
    <w:name w:val="footer"/>
    <w:basedOn w:val="Normal"/>
    <w:rsid w:val="00445250"/>
    <w:pPr>
      <w:tabs>
        <w:tab w:val="center" w:pos="4320"/>
        <w:tab w:val="right" w:pos="8640"/>
      </w:tabs>
    </w:pPr>
  </w:style>
  <w:style w:type="paragraph" w:styleId="BlockText">
    <w:name w:val="Block Text"/>
    <w:basedOn w:val="Normal"/>
    <w:rsid w:val="00445250"/>
    <w:pPr>
      <w:ind w:left="1440" w:right="-432"/>
    </w:pPr>
  </w:style>
  <w:style w:type="paragraph" w:styleId="BodyText">
    <w:name w:val="Body Text"/>
    <w:basedOn w:val="Normal"/>
    <w:rsid w:val="00445250"/>
  </w:style>
  <w:style w:type="paragraph" w:styleId="BodyTextIndent2">
    <w:name w:val="Body Text Indent 2"/>
    <w:basedOn w:val="Normal"/>
    <w:rsid w:val="00445250"/>
    <w:pPr>
      <w:ind w:left="720"/>
    </w:pPr>
  </w:style>
  <w:style w:type="character" w:styleId="PageNumber">
    <w:name w:val="page number"/>
    <w:basedOn w:val="DefaultParagraphFont"/>
    <w:rsid w:val="00445250"/>
  </w:style>
  <w:style w:type="paragraph" w:styleId="BodyText2">
    <w:name w:val="Body Text 2"/>
    <w:basedOn w:val="Normal"/>
    <w:rsid w:val="00445250"/>
    <w:pPr>
      <w:tabs>
        <w:tab w:val="center" w:pos="4680"/>
      </w:tabs>
      <w:jc w:val="center"/>
    </w:pPr>
    <w:rPr>
      <w:b/>
      <w:sz w:val="28"/>
    </w:rPr>
  </w:style>
  <w:style w:type="paragraph" w:styleId="BodyTextIndent">
    <w:name w:val="Body Text Indent"/>
    <w:basedOn w:val="Normal"/>
    <w:rsid w:val="00445250"/>
    <w:pPr>
      <w:ind w:left="360"/>
    </w:pPr>
  </w:style>
  <w:style w:type="paragraph" w:styleId="BodyTextIndent3">
    <w:name w:val="Body Text Indent 3"/>
    <w:basedOn w:val="Normal"/>
    <w:rsid w:val="00445250"/>
    <w:pPr>
      <w:ind w:left="1080"/>
    </w:pPr>
  </w:style>
  <w:style w:type="paragraph" w:styleId="BalloonText">
    <w:name w:val="Balloon Text"/>
    <w:basedOn w:val="Normal"/>
    <w:semiHidden/>
    <w:rsid w:val="00445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8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David W. Brown</dc:creator>
  <cp:keywords/>
  <cp:lastModifiedBy>Lynda Smallwood</cp:lastModifiedBy>
  <cp:revision>4</cp:revision>
  <cp:lastPrinted>2009-03-26T16:43:00Z</cp:lastPrinted>
  <dcterms:created xsi:type="dcterms:W3CDTF">2009-03-26T16:43:00Z</dcterms:created>
  <dcterms:modified xsi:type="dcterms:W3CDTF">2009-03-31T15:05:00Z</dcterms:modified>
</cp:coreProperties>
</file>