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25" w:rsidRDefault="001A4625">
      <w:pPr>
        <w:pStyle w:val="Title"/>
        <w:jc w:val="both"/>
      </w:pPr>
      <w:r>
        <w:rPr>
          <w:b w:val="0"/>
        </w:rPr>
        <w:tab/>
      </w:r>
      <w:r>
        <w:t xml:space="preserve">CALENDAR ITEM  </w:t>
      </w:r>
    </w:p>
    <w:p w:rsidR="001A4625" w:rsidRDefault="001A4625">
      <w:pPr>
        <w:pStyle w:val="Subtitle"/>
      </w:pPr>
      <w:r>
        <w:t>C40</w:t>
      </w:r>
    </w:p>
    <w:p w:rsidR="001A4625" w:rsidRDefault="001A4625">
      <w:pPr>
        <w:tabs>
          <w:tab w:val="left" w:pos="-1440"/>
          <w:tab w:val="left" w:pos="-720"/>
          <w:tab w:val="left" w:pos="720"/>
          <w:tab w:val="left" w:pos="1320"/>
          <w:tab w:val="left" w:pos="4680"/>
          <w:tab w:val="left" w:pos="7560"/>
        </w:tabs>
        <w:rPr>
          <w:rFonts w:ascii="Arial" w:hAnsi="Arial"/>
        </w:rPr>
        <w:sectPr w:rsidR="001A4625" w:rsidSect="00817155">
          <w:headerReference w:type="default" r:id="rId7"/>
          <w:footerReference w:type="default" r:id="rId8"/>
          <w:endnotePr>
            <w:numFmt w:val="decimal"/>
          </w:endnotePr>
          <w:type w:val="continuous"/>
          <w:pgSz w:w="12240" w:h="15840" w:code="1"/>
          <w:pgMar w:top="2160" w:right="1440" w:bottom="2160" w:left="1440" w:header="1440" w:footer="720" w:gutter="0"/>
          <w:cols w:space="720"/>
          <w:noEndnote/>
        </w:sectPr>
      </w:pPr>
    </w:p>
    <w:p w:rsidR="001A4625" w:rsidRDefault="001A4625">
      <w:pPr>
        <w:tabs>
          <w:tab w:val="left" w:pos="-1440"/>
          <w:tab w:val="left" w:pos="-720"/>
          <w:tab w:val="left" w:pos="720"/>
          <w:tab w:val="left" w:pos="1320"/>
          <w:tab w:val="left" w:pos="4680"/>
          <w:tab w:val="left" w:pos="7560"/>
        </w:tabs>
        <w:rPr>
          <w:rFonts w:ascii="Arial" w:hAnsi="Arial"/>
        </w:rPr>
      </w:pPr>
    </w:p>
    <w:p w:rsidR="001A4625" w:rsidRDefault="001A4625">
      <w:pPr>
        <w:tabs>
          <w:tab w:val="left" w:pos="-1080"/>
          <w:tab w:val="left" w:pos="-720"/>
          <w:tab w:val="left" w:pos="360"/>
          <w:tab w:val="right" w:pos="9360"/>
        </w:tabs>
        <w:rPr>
          <w:rFonts w:ascii="Arial" w:hAnsi="Arial"/>
        </w:rPr>
      </w:pPr>
      <w:r>
        <w:rPr>
          <w:rFonts w:ascii="Arial" w:hAnsi="Arial"/>
        </w:rPr>
        <w:t>A</w:t>
      </w:r>
      <w:r>
        <w:rPr>
          <w:rFonts w:ascii="Arial" w:hAnsi="Arial"/>
        </w:rPr>
        <w:tab/>
        <w:t>34</w:t>
      </w:r>
      <w:r>
        <w:rPr>
          <w:rFonts w:ascii="Arial" w:hAnsi="Arial"/>
        </w:rPr>
        <w:tab/>
        <w:t>12/03/08</w:t>
      </w:r>
    </w:p>
    <w:p w:rsidR="001A4625" w:rsidRDefault="001A4625">
      <w:pPr>
        <w:tabs>
          <w:tab w:val="right" w:pos="9360"/>
        </w:tabs>
        <w:rPr>
          <w:rFonts w:ascii="Arial" w:hAnsi="Arial"/>
        </w:rPr>
      </w:pPr>
      <w:r>
        <w:rPr>
          <w:rFonts w:ascii="Arial" w:hAnsi="Arial"/>
        </w:rPr>
        <w:tab/>
        <w:t>W 6005.115</w:t>
      </w:r>
    </w:p>
    <w:p w:rsidR="001A4625" w:rsidRDefault="001A4625">
      <w:pPr>
        <w:tabs>
          <w:tab w:val="left" w:pos="-1080"/>
          <w:tab w:val="left" w:pos="-720"/>
          <w:tab w:val="left" w:pos="360"/>
          <w:tab w:val="right" w:pos="9360"/>
        </w:tabs>
        <w:rPr>
          <w:rFonts w:ascii="Arial" w:hAnsi="Arial"/>
        </w:rPr>
      </w:pPr>
      <w:r>
        <w:rPr>
          <w:rFonts w:ascii="Arial" w:hAnsi="Arial"/>
        </w:rPr>
        <w:t>S</w:t>
      </w:r>
      <w:r>
        <w:rPr>
          <w:rFonts w:ascii="Arial" w:hAnsi="Arial"/>
        </w:rPr>
        <w:tab/>
        <w:t>18</w:t>
      </w:r>
      <w:r>
        <w:rPr>
          <w:rFonts w:ascii="Arial" w:hAnsi="Arial"/>
        </w:rPr>
        <w:tab/>
        <w:t xml:space="preserve">R. B. </w:t>
      </w:r>
      <w:smartTag w:uri="urn:schemas-microsoft-com:office:smarttags" w:element="City">
        <w:smartTag w:uri="urn:schemas-microsoft-com:office:smarttags" w:element="place">
          <w:r>
            <w:rPr>
              <w:rFonts w:ascii="Arial" w:hAnsi="Arial"/>
            </w:rPr>
            <w:t>Greenwood</w:t>
          </w:r>
        </w:smartTag>
      </w:smartTag>
    </w:p>
    <w:p w:rsidR="001A4625" w:rsidRDefault="001A4625">
      <w:pPr>
        <w:tabs>
          <w:tab w:val="left" w:pos="-1080"/>
          <w:tab w:val="left" w:pos="-720"/>
          <w:tab w:val="left" w:pos="360"/>
          <w:tab w:val="left" w:pos="720"/>
          <w:tab w:val="left" w:pos="1320"/>
          <w:tab w:val="left" w:pos="4680"/>
          <w:tab w:val="left" w:pos="7560"/>
        </w:tabs>
        <w:rPr>
          <w:rFonts w:ascii="Arial" w:hAnsi="Arial"/>
        </w:rPr>
      </w:pPr>
    </w:p>
    <w:p w:rsidR="001A4625" w:rsidRDefault="001A4625">
      <w:pPr>
        <w:pStyle w:val="Heading1"/>
      </w:pPr>
      <w:r>
        <w:t xml:space="preserve">CONSIDER APPROVAL OF A NON-EXCLUSIVE </w:t>
      </w:r>
    </w:p>
    <w:p w:rsidR="001A4625" w:rsidRDefault="001A4625">
      <w:pPr>
        <w:pStyle w:val="Heading1"/>
      </w:pPr>
      <w:r>
        <w:t>GEOLOGICAL SURVEY PERMIT ON SCHOOL LANDS</w:t>
      </w:r>
    </w:p>
    <w:p w:rsidR="001A4625" w:rsidRDefault="001A4625">
      <w:pPr>
        <w:pStyle w:val="Heading1"/>
      </w:pPr>
      <w:smartTag w:uri="urn:schemas-microsoft-com:office:smarttags" w:element="PlaceName">
        <w:smartTag w:uri="urn:schemas-microsoft-com:office:smarttags" w:element="place">
          <w:r>
            <w:t>SAN BERNARDINO</w:t>
          </w:r>
        </w:smartTag>
        <w:r>
          <w:t xml:space="preserve"> </w:t>
        </w:r>
        <w:smartTag w:uri="urn:schemas-microsoft-com:office:smarttags" w:element="PlaceType">
          <w:r>
            <w:t>COUNTY</w:t>
          </w:r>
        </w:smartTag>
      </w:smartTag>
      <w:r>
        <w:t xml:space="preserve"> </w:t>
      </w:r>
    </w:p>
    <w:p w:rsidR="001A4625" w:rsidRDefault="001A4625">
      <w:pPr>
        <w:tabs>
          <w:tab w:val="left" w:pos="-1080"/>
          <w:tab w:val="left" w:pos="-720"/>
          <w:tab w:val="left" w:pos="720"/>
          <w:tab w:val="left" w:pos="1320"/>
          <w:tab w:val="left" w:pos="4680"/>
          <w:tab w:val="left" w:pos="7560"/>
        </w:tabs>
        <w:rPr>
          <w:rFonts w:ascii="Arial" w:hAnsi="Arial"/>
          <w:b/>
        </w:rPr>
      </w:pPr>
    </w:p>
    <w:p w:rsidR="001A4625" w:rsidRDefault="001A4625">
      <w:pPr>
        <w:tabs>
          <w:tab w:val="left" w:pos="-1080"/>
          <w:tab w:val="left" w:pos="-720"/>
          <w:tab w:val="left" w:pos="720"/>
          <w:tab w:val="left" w:pos="1320"/>
          <w:tab w:val="left" w:pos="4680"/>
          <w:tab w:val="left" w:pos="7560"/>
        </w:tabs>
        <w:rPr>
          <w:rFonts w:ascii="Arial" w:hAnsi="Arial"/>
        </w:rPr>
      </w:pPr>
      <w:r>
        <w:rPr>
          <w:rFonts w:ascii="Arial" w:hAnsi="Arial"/>
          <w:b/>
        </w:rPr>
        <w:t>APPLICANT:</w:t>
      </w:r>
    </w:p>
    <w:p w:rsidR="001A4625" w:rsidRDefault="001A4625">
      <w:pPr>
        <w:ind w:left="720"/>
        <w:rPr>
          <w:rFonts w:ascii="Arial" w:hAnsi="Arial" w:cs="Arial"/>
        </w:rPr>
      </w:pPr>
      <w:r>
        <w:rPr>
          <w:rFonts w:ascii="Arial" w:hAnsi="Arial" w:cs="Arial"/>
        </w:rPr>
        <w:t>Solel, Inc.</w:t>
      </w:r>
    </w:p>
    <w:p w:rsidR="001A4625" w:rsidRDefault="001A4625">
      <w:pPr>
        <w:ind w:left="720"/>
        <w:rPr>
          <w:rFonts w:ascii="Arial" w:hAnsi="Arial" w:cs="Arial"/>
        </w:rPr>
      </w:pPr>
      <w:r>
        <w:rPr>
          <w:rFonts w:ascii="Arial" w:hAnsi="Arial" w:cs="Arial"/>
        </w:rPr>
        <w:t>Attn: Mr. Kevin Swartz</w:t>
      </w:r>
    </w:p>
    <w:p w:rsidR="001A4625" w:rsidRDefault="001A4625">
      <w:pPr>
        <w:ind w:left="720"/>
        <w:rPr>
          <w:rFonts w:ascii="Arial" w:hAnsi="Arial" w:cs="Arial"/>
        </w:rPr>
      </w:pPr>
      <w:bookmarkStart w:id="0" w:name="StreetAddress"/>
      <w:bookmarkEnd w:id="0"/>
      <w:smartTag w:uri="urn:schemas-microsoft-com:office:smarttags" w:element="PlaceType">
        <w:smartTag w:uri="urn:schemas-microsoft-com:office:smarttags" w:element="address">
          <w:smartTag w:uri="urn:schemas-microsoft-com:office:smarttags" w:element="Street">
            <w:r>
              <w:rPr>
                <w:rFonts w:ascii="Arial" w:hAnsi="Arial" w:cs="Arial"/>
              </w:rPr>
              <w:t>8105 Irvine Center Drive, Suite 1130</w:t>
            </w:r>
          </w:smartTag>
        </w:smartTag>
      </w:smartTag>
    </w:p>
    <w:p w:rsidR="001A4625" w:rsidRDefault="001A4625">
      <w:pPr>
        <w:ind w:left="720"/>
        <w:rPr>
          <w:rFonts w:ascii="Arial" w:hAnsi="Arial" w:cs="Arial"/>
        </w:rPr>
      </w:pPr>
      <w:bookmarkStart w:id="1" w:name="City"/>
      <w:bookmarkEnd w:id="1"/>
      <w:smartTag w:uri="urn:schemas-microsoft-com:office:smarttags" w:element="PlaceType">
        <w:smartTag w:uri="urn:schemas-microsoft-com:office:smarttags" w:element="place">
          <w:smartTag w:uri="urn:schemas-microsoft-com:office:smarttags" w:element="City">
            <w:r>
              <w:rPr>
                <w:rFonts w:ascii="Arial" w:hAnsi="Arial" w:cs="Arial"/>
              </w:rPr>
              <w:t>Irvine</w:t>
            </w:r>
          </w:smartTag>
        </w:smartTag>
        <w:r>
          <w:rPr>
            <w:rFonts w:ascii="Arial" w:hAnsi="Arial" w:cs="Arial"/>
          </w:rPr>
          <w:t xml:space="preserve">, </w:t>
        </w:r>
        <w:smartTag w:uri="urn:schemas-microsoft-com:office:smarttags" w:element="PlaceType">
          <w:smartTag w:uri="urn:schemas-microsoft-com:office:smarttags" w:element="State">
            <w:r>
              <w:rPr>
                <w:rFonts w:ascii="Arial" w:hAnsi="Arial" w:cs="Arial"/>
              </w:rPr>
              <w:t>CA</w:t>
            </w:r>
          </w:smartTag>
        </w:smartTag>
        <w:r>
          <w:rPr>
            <w:rFonts w:ascii="Arial" w:hAnsi="Arial" w:cs="Arial"/>
          </w:rPr>
          <w:t xml:space="preserve"> </w:t>
        </w:r>
        <w:smartTag w:uri="urn:schemas-microsoft-com:office:smarttags" w:element="PlaceType">
          <w:smartTag w:uri="urn:schemas-microsoft-com:office:smarttags" w:element="PostalCode">
            <w:r>
              <w:rPr>
                <w:rFonts w:ascii="Arial" w:hAnsi="Arial" w:cs="Arial"/>
              </w:rPr>
              <w:t>92618</w:t>
            </w:r>
          </w:smartTag>
        </w:smartTag>
      </w:smartTag>
    </w:p>
    <w:p w:rsidR="001A4625" w:rsidRDefault="001A4625" w:rsidP="00817155">
      <w:pPr>
        <w:tabs>
          <w:tab w:val="left" w:pos="-1080"/>
          <w:tab w:val="left" w:pos="-720"/>
          <w:tab w:val="left" w:pos="720"/>
          <w:tab w:val="left" w:pos="1320"/>
          <w:tab w:val="left" w:pos="4680"/>
          <w:tab w:val="left" w:pos="7560"/>
        </w:tabs>
        <w:rPr>
          <w:rFonts w:ascii="Arial" w:hAnsi="Arial"/>
          <w:b/>
        </w:rPr>
      </w:pPr>
    </w:p>
    <w:p w:rsidR="001A4625" w:rsidRDefault="001A4625" w:rsidP="00817155">
      <w:pPr>
        <w:tabs>
          <w:tab w:val="left" w:pos="-1080"/>
          <w:tab w:val="left" w:pos="-720"/>
          <w:tab w:val="left" w:pos="720"/>
          <w:tab w:val="left" w:pos="1320"/>
          <w:tab w:val="left" w:pos="4680"/>
          <w:tab w:val="left" w:pos="7560"/>
        </w:tabs>
        <w:rPr>
          <w:rFonts w:ascii="Arial" w:hAnsi="Arial"/>
        </w:rPr>
      </w:pPr>
      <w:r>
        <w:rPr>
          <w:rFonts w:ascii="Arial" w:hAnsi="Arial"/>
          <w:b/>
        </w:rPr>
        <w:t>AREA, LAND TYPE, LOCATION</w:t>
      </w:r>
    </w:p>
    <w:p w:rsidR="001A4625" w:rsidRDefault="001A4625" w:rsidP="00817155">
      <w:pPr>
        <w:tabs>
          <w:tab w:val="left" w:pos="-1080"/>
          <w:tab w:val="left" w:pos="-720"/>
          <w:tab w:val="left" w:pos="720"/>
          <w:tab w:val="left" w:pos="1320"/>
          <w:tab w:val="left" w:pos="4680"/>
          <w:tab w:val="left" w:pos="7560"/>
        </w:tabs>
        <w:ind w:left="720"/>
        <w:rPr>
          <w:rFonts w:ascii="Arial" w:hAnsi="Arial"/>
        </w:rPr>
      </w:pPr>
      <w:r>
        <w:rPr>
          <w:rFonts w:ascii="Arial" w:hAnsi="Arial"/>
        </w:rPr>
        <w:t>The proposed Geologic Survey Permit will allow collection of surface geologic data and information for preliminary characterization of the site to support the preliminary design and layout of a 553 to 624 megawatt solar energy project by Solel, Inc.  The proposed project will include an area of approximately 4,480 contiguous acres of State School Lands and 1,320 acres of Bureau of Land Management land in the Johnson Valley area—an unincorporated desert region of southwestern San Bernardino County.</w:t>
      </w:r>
    </w:p>
    <w:p w:rsidR="001A4625" w:rsidRDefault="001A4625" w:rsidP="00817155">
      <w:pPr>
        <w:tabs>
          <w:tab w:val="left" w:pos="-1080"/>
          <w:tab w:val="left" w:pos="-720"/>
          <w:tab w:val="left" w:pos="720"/>
          <w:tab w:val="left" w:pos="1320"/>
          <w:tab w:val="left" w:pos="4680"/>
          <w:tab w:val="left" w:pos="7560"/>
        </w:tabs>
        <w:rPr>
          <w:rFonts w:ascii="Arial" w:hAnsi="Arial"/>
        </w:rPr>
      </w:pPr>
    </w:p>
    <w:p w:rsidR="001A4625" w:rsidRDefault="001A4625" w:rsidP="00817155">
      <w:pPr>
        <w:tabs>
          <w:tab w:val="left" w:pos="-1080"/>
          <w:tab w:val="left" w:pos="-720"/>
          <w:tab w:val="left" w:pos="720"/>
          <w:tab w:val="left" w:pos="1320"/>
          <w:tab w:val="left" w:pos="4680"/>
          <w:tab w:val="left" w:pos="7560"/>
        </w:tabs>
        <w:rPr>
          <w:rFonts w:ascii="Arial" w:hAnsi="Arial"/>
        </w:rPr>
      </w:pPr>
      <w:r>
        <w:rPr>
          <w:rFonts w:ascii="Arial" w:hAnsi="Arial"/>
          <w:b/>
        </w:rPr>
        <w:t>BACKGROUND:</w:t>
      </w:r>
    </w:p>
    <w:p w:rsidR="001A4625" w:rsidRDefault="001A4625" w:rsidP="00817155">
      <w:pPr>
        <w:tabs>
          <w:tab w:val="left" w:pos="-1080"/>
          <w:tab w:val="left" w:pos="-720"/>
          <w:tab w:val="left" w:pos="720"/>
          <w:tab w:val="left" w:pos="1320"/>
          <w:tab w:val="left" w:pos="4680"/>
          <w:tab w:val="left" w:pos="7560"/>
        </w:tabs>
        <w:ind w:left="720"/>
        <w:rPr>
          <w:rFonts w:ascii="Arial" w:hAnsi="Arial"/>
        </w:rPr>
      </w:pPr>
      <w:r>
        <w:rPr>
          <w:rFonts w:ascii="Arial" w:hAnsi="Arial"/>
        </w:rPr>
        <w:t>The geological surveys authorized under the terms of the permit include three (3) fault trenches, nine (9) test pits, and 20 soil borings pits for the purpose of documenting the Lenwood fault, sampling and characterizing sediments, and determining soil shrinkage factors and soil permeability.  The non-destructive geologic sampling methods to be employed include: tire-mounted backhoes or excavators, a tire-mounted hollow stem auger, and possibly a rotary mud drill.</w:t>
      </w:r>
    </w:p>
    <w:p w:rsidR="001A4625" w:rsidRDefault="001A4625" w:rsidP="00817155">
      <w:pPr>
        <w:tabs>
          <w:tab w:val="left" w:pos="-1080"/>
          <w:tab w:val="left" w:pos="-720"/>
          <w:tab w:val="left" w:pos="720"/>
          <w:tab w:val="left" w:pos="1320"/>
          <w:tab w:val="left" w:pos="4680"/>
          <w:tab w:val="left" w:pos="7560"/>
        </w:tabs>
        <w:ind w:left="720"/>
        <w:rPr>
          <w:rFonts w:ascii="Arial" w:hAnsi="Arial"/>
        </w:rPr>
      </w:pPr>
    </w:p>
    <w:p w:rsidR="001A4625" w:rsidRDefault="001A4625" w:rsidP="00817155">
      <w:pPr>
        <w:tabs>
          <w:tab w:val="left" w:pos="-1080"/>
          <w:tab w:val="left" w:pos="-720"/>
          <w:tab w:val="left" w:pos="720"/>
          <w:tab w:val="left" w:pos="1320"/>
          <w:tab w:val="left" w:pos="4680"/>
          <w:tab w:val="left" w:pos="7560"/>
        </w:tabs>
        <w:ind w:left="720"/>
        <w:rPr>
          <w:rFonts w:ascii="Arial" w:hAnsi="Arial"/>
        </w:rPr>
      </w:pPr>
      <w:r>
        <w:rPr>
          <w:rFonts w:ascii="Arial" w:hAnsi="Arial"/>
        </w:rPr>
        <w:t xml:space="preserve">The location and characteristics of the Lenwood fault will be defined by excavating three trenches 100 feet long, five feet wide, and five to ten feet deep.  Once excavated and shored, the trenches will each remain open for one week, during which they will be logged to delineate subsurface lithology and geologic structure.  Onsite soils will be sampled and characterized via 20 soil borings that will range from 30 to 100 feet deep: six (6) borings to 100 foot depth, six (6) borings to 50 foot depth and eight (8) borings to 30 foot depth, as shown on the location map and described (Exhibits A and A1, attached hereto).  Onsite soils will be further characterized through excavation, logging and testing up to nine (9) back hoe-excavated test pits.  Test pits are typically 10 feet long, 8 feet wide, and 10 to 15 feet deep.  In-place density tests and infiltration tests will be used to estimate soil shrinkage factors for foundation design and soil permeability, respectively.  Passive soil resistivity will be measured at each sampling site.  </w:t>
      </w:r>
      <w:r>
        <w:rPr>
          <w:rFonts w:ascii="Arial" w:hAnsi="Arial" w:cs="Arial"/>
        </w:rPr>
        <w:t>A Spill Contingency Plan, including machine fuels and lubricants, has been provided.</w:t>
      </w:r>
      <w:r>
        <w:rPr>
          <w:rFonts w:ascii="Arial" w:hAnsi="Arial"/>
        </w:rPr>
        <w:t xml:space="preserve">  Upon request, the California State Lands Commission (Commission) will receive copies of all data derived from any and all surveys under this permit.</w:t>
      </w:r>
    </w:p>
    <w:p w:rsidR="001A4625" w:rsidRDefault="001A4625" w:rsidP="00817155">
      <w:pPr>
        <w:tabs>
          <w:tab w:val="left" w:pos="-1080"/>
          <w:tab w:val="left" w:pos="-720"/>
          <w:tab w:val="left" w:pos="720"/>
          <w:tab w:val="left" w:pos="1320"/>
          <w:tab w:val="left" w:pos="4680"/>
          <w:tab w:val="left" w:pos="7560"/>
        </w:tabs>
        <w:ind w:left="720"/>
        <w:rPr>
          <w:rFonts w:ascii="Arial" w:hAnsi="Arial"/>
        </w:rPr>
      </w:pPr>
    </w:p>
    <w:p w:rsidR="001A4625" w:rsidRDefault="001A4625" w:rsidP="00817155">
      <w:pPr>
        <w:tabs>
          <w:tab w:val="left" w:pos="-1080"/>
          <w:tab w:val="left" w:pos="-720"/>
          <w:tab w:val="left" w:pos="720"/>
          <w:tab w:val="left" w:pos="1320"/>
          <w:tab w:val="left" w:pos="4680"/>
          <w:tab w:val="left" w:pos="7560"/>
        </w:tabs>
        <w:rPr>
          <w:rFonts w:ascii="Arial" w:hAnsi="Arial"/>
        </w:rPr>
      </w:pPr>
      <w:r>
        <w:rPr>
          <w:rFonts w:ascii="Arial" w:hAnsi="Arial"/>
          <w:b/>
        </w:rPr>
        <w:t>TERMS OF PROPOSED PERMIT:</w:t>
      </w:r>
    </w:p>
    <w:p w:rsidR="001A4625" w:rsidRDefault="001A4625" w:rsidP="00817155">
      <w:pPr>
        <w:tabs>
          <w:tab w:val="left" w:pos="-1080"/>
          <w:tab w:val="left" w:pos="-720"/>
          <w:tab w:val="left" w:pos="720"/>
          <w:tab w:val="left" w:pos="1320"/>
          <w:tab w:val="left" w:pos="4680"/>
          <w:tab w:val="left" w:pos="7560"/>
        </w:tabs>
        <w:rPr>
          <w:rFonts w:ascii="Arial" w:hAnsi="Arial"/>
        </w:rPr>
      </w:pPr>
      <w:r>
        <w:rPr>
          <w:rFonts w:ascii="Arial" w:hAnsi="Arial"/>
        </w:rPr>
        <w:tab/>
        <w:t>Two years, beginning December 4, 2008, through December 3, 2010.</w:t>
      </w:r>
    </w:p>
    <w:p w:rsidR="001A4625" w:rsidRDefault="001A4625" w:rsidP="00817155">
      <w:pPr>
        <w:tabs>
          <w:tab w:val="left" w:pos="-1080"/>
          <w:tab w:val="left" w:pos="-720"/>
          <w:tab w:val="left" w:pos="720"/>
          <w:tab w:val="left" w:pos="1320"/>
          <w:tab w:val="left" w:pos="4680"/>
          <w:tab w:val="left" w:pos="7560"/>
        </w:tabs>
        <w:ind w:left="1320"/>
        <w:rPr>
          <w:rFonts w:ascii="Arial" w:hAnsi="Arial"/>
        </w:rPr>
      </w:pPr>
    </w:p>
    <w:p w:rsidR="001A4625" w:rsidRDefault="001A4625" w:rsidP="00817155">
      <w:pPr>
        <w:tabs>
          <w:tab w:val="left" w:pos="-1080"/>
          <w:tab w:val="left" w:pos="-720"/>
          <w:tab w:val="left" w:pos="720"/>
          <w:tab w:val="left" w:pos="1320"/>
          <w:tab w:val="left" w:pos="4680"/>
          <w:tab w:val="left" w:pos="7560"/>
        </w:tabs>
        <w:rPr>
          <w:rFonts w:ascii="Arial" w:hAnsi="Arial"/>
        </w:rPr>
      </w:pPr>
      <w:r>
        <w:rPr>
          <w:rFonts w:ascii="Arial" w:hAnsi="Arial"/>
          <w:b/>
        </w:rPr>
        <w:t>PREREQUISITE CONDITIONS, FEES AND EXPENSES:</w:t>
      </w:r>
    </w:p>
    <w:p w:rsidR="001A4625" w:rsidRDefault="001A4625" w:rsidP="00817155">
      <w:pPr>
        <w:tabs>
          <w:tab w:val="left" w:pos="-1080"/>
          <w:tab w:val="left" w:pos="-720"/>
          <w:tab w:val="left" w:pos="720"/>
          <w:tab w:val="left" w:pos="1320"/>
          <w:tab w:val="left" w:pos="4680"/>
          <w:tab w:val="left" w:pos="7560"/>
        </w:tabs>
        <w:ind w:left="720"/>
        <w:rPr>
          <w:rFonts w:ascii="Arial" w:hAnsi="Arial"/>
        </w:rPr>
      </w:pPr>
      <w:r>
        <w:rPr>
          <w:rFonts w:ascii="Arial" w:hAnsi="Arial"/>
        </w:rPr>
        <w:t>Required fees, expense deposit and other security have been received.</w:t>
      </w:r>
    </w:p>
    <w:p w:rsidR="001A4625" w:rsidRDefault="001A4625" w:rsidP="00817155">
      <w:pPr>
        <w:tabs>
          <w:tab w:val="left" w:pos="-1080"/>
          <w:tab w:val="left" w:pos="-720"/>
          <w:tab w:val="left" w:pos="720"/>
          <w:tab w:val="left" w:pos="1320"/>
          <w:tab w:val="left" w:pos="4680"/>
          <w:tab w:val="left" w:pos="7560"/>
        </w:tabs>
        <w:rPr>
          <w:rFonts w:ascii="Arial" w:hAnsi="Arial"/>
        </w:rPr>
      </w:pPr>
    </w:p>
    <w:p w:rsidR="001A4625" w:rsidRDefault="001A4625" w:rsidP="00817155">
      <w:pPr>
        <w:tabs>
          <w:tab w:val="left" w:pos="-1080"/>
          <w:tab w:val="left" w:pos="-720"/>
          <w:tab w:val="left" w:pos="720"/>
          <w:tab w:val="left" w:pos="1320"/>
          <w:tab w:val="left" w:pos="4680"/>
          <w:tab w:val="left" w:pos="7560"/>
        </w:tabs>
        <w:rPr>
          <w:rFonts w:ascii="Arial" w:hAnsi="Arial"/>
          <w:b/>
        </w:rPr>
      </w:pPr>
      <w:r>
        <w:rPr>
          <w:rFonts w:ascii="Arial" w:hAnsi="Arial"/>
          <w:b/>
        </w:rPr>
        <w:t>STATUTORY AND OTHER REFERENCES:</w:t>
      </w:r>
    </w:p>
    <w:p w:rsidR="001A4625" w:rsidRDefault="001A4625" w:rsidP="00817155">
      <w:pPr>
        <w:tabs>
          <w:tab w:val="left" w:pos="-1080"/>
          <w:tab w:val="left" w:pos="-720"/>
          <w:tab w:val="left" w:pos="720"/>
          <w:tab w:val="left" w:pos="1320"/>
          <w:tab w:val="left" w:pos="4680"/>
          <w:tab w:val="left" w:pos="7560"/>
        </w:tabs>
        <w:ind w:left="1320" w:hanging="600"/>
        <w:rPr>
          <w:rFonts w:ascii="Arial" w:hAnsi="Arial"/>
        </w:rPr>
      </w:pPr>
      <w:r>
        <w:rPr>
          <w:rFonts w:ascii="Arial" w:hAnsi="Arial"/>
        </w:rPr>
        <w:t>A.</w:t>
      </w:r>
      <w:r>
        <w:rPr>
          <w:rFonts w:ascii="Arial" w:hAnsi="Arial"/>
        </w:rPr>
        <w:tab/>
        <w:t>Public Resources Code section 6826</w:t>
      </w:r>
    </w:p>
    <w:p w:rsidR="001A4625" w:rsidRDefault="001A4625" w:rsidP="00817155">
      <w:pPr>
        <w:tabs>
          <w:tab w:val="left" w:pos="-1080"/>
          <w:tab w:val="left" w:pos="-720"/>
          <w:tab w:val="left" w:pos="720"/>
          <w:tab w:val="left" w:pos="1320"/>
          <w:tab w:val="left" w:pos="4680"/>
          <w:tab w:val="left" w:pos="7560"/>
        </w:tabs>
        <w:ind w:left="1320" w:hanging="600"/>
        <w:rPr>
          <w:rFonts w:ascii="Arial" w:hAnsi="Arial"/>
        </w:rPr>
      </w:pPr>
      <w:r>
        <w:rPr>
          <w:rFonts w:ascii="Arial" w:hAnsi="Arial"/>
        </w:rPr>
        <w:t>B.</w:t>
      </w:r>
      <w:r>
        <w:rPr>
          <w:rFonts w:ascii="Arial" w:hAnsi="Arial"/>
        </w:rPr>
        <w:tab/>
        <w:t>California Code of Regulations, Title 2, section 2905(e)</w:t>
      </w:r>
    </w:p>
    <w:p w:rsidR="001A4625" w:rsidRDefault="001A4625" w:rsidP="00817155">
      <w:pPr>
        <w:numPr>
          <w:ilvl w:val="0"/>
          <w:numId w:val="1"/>
        </w:numPr>
        <w:tabs>
          <w:tab w:val="left" w:pos="-1080"/>
          <w:tab w:val="left" w:pos="-720"/>
          <w:tab w:val="left" w:pos="720"/>
          <w:tab w:val="left" w:pos="4680"/>
          <w:tab w:val="left" w:pos="7560"/>
        </w:tabs>
        <w:rPr>
          <w:rFonts w:ascii="Arial" w:hAnsi="Arial"/>
        </w:rPr>
      </w:pPr>
      <w:r>
        <w:rPr>
          <w:rFonts w:ascii="Arial" w:hAnsi="Arial"/>
        </w:rPr>
        <w:t>California Code of Regulations, Title 14, section 15061</w:t>
      </w:r>
    </w:p>
    <w:p w:rsidR="001A4625" w:rsidRDefault="001A4625" w:rsidP="00817155">
      <w:pPr>
        <w:numPr>
          <w:ilvl w:val="0"/>
          <w:numId w:val="1"/>
        </w:numPr>
        <w:tabs>
          <w:tab w:val="left" w:pos="-1080"/>
          <w:tab w:val="left" w:pos="-720"/>
          <w:tab w:val="left" w:pos="720"/>
          <w:tab w:val="left" w:pos="4680"/>
          <w:tab w:val="left" w:pos="7560"/>
        </w:tabs>
        <w:rPr>
          <w:rFonts w:ascii="Arial" w:hAnsi="Arial"/>
        </w:rPr>
      </w:pPr>
      <w:r>
        <w:rPr>
          <w:rFonts w:ascii="Arial" w:hAnsi="Arial"/>
        </w:rPr>
        <w:t>California Code of Regulations, Title 15, section 15306</w:t>
      </w:r>
    </w:p>
    <w:p w:rsidR="001A4625" w:rsidRDefault="001A4625" w:rsidP="00817155">
      <w:pPr>
        <w:tabs>
          <w:tab w:val="left" w:pos="-1080"/>
          <w:tab w:val="left" w:pos="-720"/>
          <w:tab w:val="left" w:pos="720"/>
          <w:tab w:val="left" w:pos="4680"/>
          <w:tab w:val="left" w:pos="7560"/>
        </w:tabs>
        <w:ind w:left="720"/>
        <w:rPr>
          <w:rFonts w:ascii="Arial" w:hAnsi="Arial"/>
        </w:rPr>
      </w:pPr>
    </w:p>
    <w:p w:rsidR="001A4625" w:rsidRDefault="001A4625" w:rsidP="00817155">
      <w:pPr>
        <w:tabs>
          <w:tab w:val="left" w:pos="-1080"/>
          <w:tab w:val="left" w:pos="-720"/>
          <w:tab w:val="left" w:pos="720"/>
          <w:tab w:val="left" w:pos="1320"/>
          <w:tab w:val="left" w:pos="4680"/>
          <w:tab w:val="left" w:pos="7560"/>
        </w:tabs>
        <w:rPr>
          <w:rFonts w:ascii="Arial" w:hAnsi="Arial"/>
          <w:b/>
        </w:rPr>
      </w:pPr>
      <w:r>
        <w:rPr>
          <w:rFonts w:ascii="Arial" w:hAnsi="Arial"/>
          <w:b/>
        </w:rPr>
        <w:t>OTHER PERTINENT INFORMATION:</w:t>
      </w:r>
    </w:p>
    <w:p w:rsidR="001A4625" w:rsidRDefault="001A4625" w:rsidP="00817155">
      <w:pPr>
        <w:ind w:left="1440" w:hanging="720"/>
        <w:rPr>
          <w:rFonts w:ascii="Arial" w:hAnsi="Arial" w:cs="Arial"/>
          <w:szCs w:val="24"/>
          <w:highlight w:val="yellow"/>
        </w:rPr>
      </w:pPr>
      <w:r>
        <w:rPr>
          <w:rFonts w:ascii="Arial" w:hAnsi="Arial" w:cs="Arial"/>
        </w:rPr>
        <w:t>1.</w:t>
      </w:r>
      <w:r>
        <w:rPr>
          <w:rFonts w:ascii="Arial" w:hAnsi="Arial" w:cs="Arial"/>
        </w:rPr>
        <w:tab/>
      </w:r>
      <w:r>
        <w:rPr>
          <w:rFonts w:ascii="Arial" w:hAnsi="Arial" w:cs="Arial"/>
          <w:szCs w:val="24"/>
        </w:rPr>
        <w:t xml:space="preserve">Solel, Inc. has included numerous provisions as part of its project application to perform geologic survey work in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Arial" w:hAnsi="Arial" w:cs="Arial"/>
                  <w:szCs w:val="24"/>
                </w:rPr>
                <w:t>Johnson</w:t>
              </w:r>
            </w:smartTag>
          </w:smartTag>
          <w:r>
            <w:rPr>
              <w:rFonts w:ascii="Arial" w:hAnsi="Arial" w:cs="Arial"/>
              <w:szCs w:val="24"/>
            </w:rPr>
            <w:t xml:space="preserve"> </w:t>
          </w:r>
          <w:smartTag w:uri="urn:schemas-microsoft-com:office:smarttags" w:element="place">
            <w:r>
              <w:rPr>
                <w:rFonts w:ascii="Arial" w:hAnsi="Arial" w:cs="Arial"/>
                <w:szCs w:val="24"/>
              </w:rPr>
              <w:t>Valley</w:t>
            </w:r>
          </w:smartTag>
        </w:smartTag>
      </w:smartTag>
      <w:r>
        <w:rPr>
          <w:rFonts w:ascii="Arial" w:hAnsi="Arial" w:cs="Arial"/>
          <w:szCs w:val="24"/>
        </w:rPr>
        <w:t xml:space="preserve"> area.  These provisions are protective of sensitive resources to ensure avoidance during the course of the geologic surveys and include:</w:t>
      </w:r>
    </w:p>
    <w:p w:rsidR="001A4625" w:rsidRDefault="001A4625" w:rsidP="00817155">
      <w:pPr>
        <w:rPr>
          <w:rFonts w:ascii="Arial" w:hAnsi="Arial" w:cs="Arial"/>
          <w:szCs w:val="24"/>
          <w:highlight w:val="yellow"/>
        </w:rPr>
      </w:pPr>
    </w:p>
    <w:p w:rsidR="001A4625" w:rsidRDefault="001A4625" w:rsidP="00817155">
      <w:pPr>
        <w:ind w:left="1440"/>
        <w:rPr>
          <w:rFonts w:ascii="Arial" w:hAnsi="Arial" w:cs="Arial"/>
          <w:szCs w:val="24"/>
        </w:rPr>
      </w:pPr>
      <w:r>
        <w:rPr>
          <w:rFonts w:ascii="Arial" w:hAnsi="Arial" w:cs="Arial"/>
          <w:szCs w:val="24"/>
          <w:u w:val="single"/>
        </w:rPr>
        <w:t>Biological Resources</w:t>
      </w:r>
    </w:p>
    <w:p w:rsidR="001A4625" w:rsidRDefault="001A4625" w:rsidP="00817155">
      <w:pPr>
        <w:widowControl/>
        <w:numPr>
          <w:ilvl w:val="0"/>
          <w:numId w:val="6"/>
        </w:numPr>
        <w:rPr>
          <w:rFonts w:ascii="Arial" w:hAnsi="Arial" w:cs="Arial"/>
          <w:szCs w:val="24"/>
        </w:rPr>
      </w:pPr>
      <w:r>
        <w:rPr>
          <w:rFonts w:ascii="Arial" w:hAnsi="Arial" w:cs="Arial"/>
          <w:szCs w:val="24"/>
        </w:rPr>
        <w:t>Pre-geotechnical sampling work, performed no more than seven days prior to the start of the geologic survey work, for special status plant and wildlife species, and sensitive habitats.  Inclusion of 200-foot buffers, well-marked, around all special status plants, sensitive habitats, or other special status species, that may be observed during the pre-geologic surveys.</w:t>
      </w:r>
    </w:p>
    <w:p w:rsidR="001A4625" w:rsidRDefault="001A4625" w:rsidP="00817155">
      <w:pPr>
        <w:widowControl/>
        <w:ind w:left="1800"/>
        <w:rPr>
          <w:rFonts w:ascii="Arial" w:hAnsi="Arial" w:cs="Arial"/>
          <w:szCs w:val="24"/>
        </w:rPr>
      </w:pPr>
    </w:p>
    <w:p w:rsidR="001A4625" w:rsidRDefault="001A4625" w:rsidP="00817155">
      <w:pPr>
        <w:widowControl/>
        <w:numPr>
          <w:ilvl w:val="0"/>
          <w:numId w:val="6"/>
        </w:numPr>
        <w:rPr>
          <w:rFonts w:ascii="Arial" w:hAnsi="Arial" w:cs="Arial"/>
          <w:szCs w:val="24"/>
        </w:rPr>
      </w:pPr>
      <w:r>
        <w:rPr>
          <w:rFonts w:ascii="Arial" w:hAnsi="Arial" w:cs="Arial"/>
          <w:szCs w:val="24"/>
        </w:rPr>
        <w:t>Vehicle speed limitations in areas, including buffers, occupied by special status plant and wildlife species, and sensitive habitats.</w:t>
      </w:r>
    </w:p>
    <w:p w:rsidR="001A4625" w:rsidRDefault="001A4625" w:rsidP="00817155">
      <w:pPr>
        <w:widowControl/>
        <w:rPr>
          <w:rFonts w:ascii="Arial" w:hAnsi="Arial" w:cs="Arial"/>
          <w:szCs w:val="24"/>
        </w:rPr>
      </w:pPr>
    </w:p>
    <w:p w:rsidR="001A4625" w:rsidRDefault="001A4625" w:rsidP="00817155">
      <w:pPr>
        <w:widowControl/>
        <w:numPr>
          <w:ilvl w:val="0"/>
          <w:numId w:val="6"/>
        </w:numPr>
        <w:rPr>
          <w:rFonts w:ascii="Arial" w:hAnsi="Arial" w:cs="Arial"/>
          <w:szCs w:val="24"/>
        </w:rPr>
      </w:pPr>
      <w:r>
        <w:rPr>
          <w:rFonts w:ascii="Arial" w:hAnsi="Arial" w:cs="Arial"/>
          <w:szCs w:val="24"/>
        </w:rPr>
        <w:t>A qualified biologist, with the authority to stop the work, will monitor all geophysical and geologic survey activities and will implement a monitoring and full avoidance program in any area identified as having the potential to contain special status plant and wildlife species, and sensitive habitats.</w:t>
      </w:r>
    </w:p>
    <w:p w:rsidR="001A4625" w:rsidRDefault="001A4625" w:rsidP="00817155">
      <w:pPr>
        <w:widowControl/>
        <w:rPr>
          <w:rFonts w:ascii="Arial" w:hAnsi="Arial" w:cs="Arial"/>
          <w:szCs w:val="24"/>
        </w:rPr>
      </w:pPr>
    </w:p>
    <w:p w:rsidR="001A4625" w:rsidRDefault="001A4625" w:rsidP="00817155">
      <w:pPr>
        <w:widowControl/>
        <w:numPr>
          <w:ilvl w:val="0"/>
          <w:numId w:val="6"/>
        </w:numPr>
        <w:rPr>
          <w:rFonts w:ascii="Arial" w:hAnsi="Arial" w:cs="Arial"/>
          <w:szCs w:val="24"/>
        </w:rPr>
      </w:pPr>
      <w:r>
        <w:rPr>
          <w:rFonts w:ascii="Arial" w:hAnsi="Arial" w:cs="Arial"/>
          <w:szCs w:val="24"/>
        </w:rPr>
        <w:t>The qualified biological monitor will prepare daily monitoring logs that will be submitted weekly to Solel, Inc. and the Commission.</w:t>
      </w:r>
    </w:p>
    <w:p w:rsidR="001A4625" w:rsidRDefault="001A4625" w:rsidP="00817155">
      <w:pPr>
        <w:rPr>
          <w:rFonts w:ascii="Arial" w:hAnsi="Arial" w:cs="Arial"/>
          <w:szCs w:val="24"/>
        </w:rPr>
      </w:pPr>
    </w:p>
    <w:p w:rsidR="001A4625" w:rsidRDefault="001A4625" w:rsidP="00817155">
      <w:pPr>
        <w:ind w:left="1440"/>
        <w:rPr>
          <w:rFonts w:ascii="Arial" w:hAnsi="Arial" w:cs="Arial"/>
          <w:szCs w:val="24"/>
        </w:rPr>
      </w:pPr>
      <w:r>
        <w:rPr>
          <w:rFonts w:ascii="Arial" w:hAnsi="Arial" w:cs="Arial"/>
          <w:szCs w:val="24"/>
          <w:u w:val="single"/>
        </w:rPr>
        <w:t>Cultural Resources</w:t>
      </w:r>
    </w:p>
    <w:p w:rsidR="001A4625" w:rsidRDefault="001A4625" w:rsidP="00817155">
      <w:pPr>
        <w:widowControl/>
        <w:numPr>
          <w:ilvl w:val="0"/>
          <w:numId w:val="7"/>
        </w:numPr>
        <w:rPr>
          <w:rFonts w:ascii="Arial" w:hAnsi="Arial" w:cs="Arial"/>
          <w:szCs w:val="24"/>
        </w:rPr>
      </w:pPr>
      <w:r>
        <w:rPr>
          <w:rFonts w:ascii="Arial" w:hAnsi="Arial" w:cs="Arial"/>
          <w:szCs w:val="24"/>
        </w:rPr>
        <w:t>A qualified archaeologist, with the authority to stop the work, will monitor all geologic survey activities and will implement a monitoring and avoidance program in any area identified as having the potential to contain unique archaeological resources.</w:t>
      </w:r>
    </w:p>
    <w:p w:rsidR="001A4625" w:rsidRDefault="001A4625" w:rsidP="00817155">
      <w:pPr>
        <w:widowControl/>
        <w:ind w:left="1800"/>
        <w:rPr>
          <w:rFonts w:ascii="Arial" w:hAnsi="Arial" w:cs="Arial"/>
          <w:szCs w:val="24"/>
        </w:rPr>
      </w:pPr>
    </w:p>
    <w:p w:rsidR="001A4625" w:rsidRDefault="001A4625" w:rsidP="00817155">
      <w:pPr>
        <w:widowControl/>
        <w:numPr>
          <w:ilvl w:val="0"/>
          <w:numId w:val="7"/>
        </w:numPr>
        <w:rPr>
          <w:rFonts w:ascii="Arial" w:hAnsi="Arial" w:cs="Arial"/>
          <w:szCs w:val="24"/>
        </w:rPr>
      </w:pPr>
      <w:r>
        <w:rPr>
          <w:rFonts w:ascii="Arial" w:hAnsi="Arial" w:cs="Arial"/>
          <w:szCs w:val="24"/>
        </w:rPr>
        <w:t>Geologic survey personnel will be briefed on procedures to be followed in the event a unique archaeological resource is encountered.</w:t>
      </w:r>
    </w:p>
    <w:p w:rsidR="001A4625" w:rsidRDefault="001A4625" w:rsidP="00817155">
      <w:pPr>
        <w:widowControl/>
        <w:rPr>
          <w:rFonts w:ascii="Arial" w:hAnsi="Arial" w:cs="Arial"/>
          <w:szCs w:val="24"/>
        </w:rPr>
      </w:pPr>
    </w:p>
    <w:p w:rsidR="001A4625" w:rsidRDefault="001A4625" w:rsidP="00817155">
      <w:pPr>
        <w:widowControl/>
        <w:numPr>
          <w:ilvl w:val="0"/>
          <w:numId w:val="7"/>
        </w:numPr>
        <w:rPr>
          <w:rFonts w:ascii="Arial" w:hAnsi="Arial" w:cs="Arial"/>
          <w:szCs w:val="24"/>
        </w:rPr>
      </w:pPr>
      <w:r>
        <w:rPr>
          <w:rFonts w:ascii="Arial" w:hAnsi="Arial" w:cs="Arial"/>
          <w:szCs w:val="24"/>
        </w:rPr>
        <w:t>The qualified archaeological monitor will prepare daily monitoring logs that will be submitted weekly to Solel, Inc. and the Commission.</w:t>
      </w:r>
    </w:p>
    <w:p w:rsidR="001A4625" w:rsidRDefault="001A4625" w:rsidP="00817155">
      <w:pPr>
        <w:rPr>
          <w:rFonts w:ascii="Arial" w:hAnsi="Arial" w:cs="Arial"/>
          <w:szCs w:val="24"/>
          <w:highlight w:val="yellow"/>
        </w:rPr>
      </w:pPr>
    </w:p>
    <w:p w:rsidR="001A4625" w:rsidRDefault="001A4625" w:rsidP="00817155">
      <w:pPr>
        <w:ind w:left="1440"/>
        <w:rPr>
          <w:rFonts w:ascii="Arial" w:hAnsi="Arial" w:cs="Arial"/>
          <w:szCs w:val="24"/>
        </w:rPr>
      </w:pPr>
      <w:r>
        <w:rPr>
          <w:rFonts w:ascii="Arial" w:hAnsi="Arial" w:cs="Arial"/>
          <w:szCs w:val="24"/>
          <w:u w:val="single"/>
        </w:rPr>
        <w:t>Hazards and Hazardous Materials</w:t>
      </w:r>
    </w:p>
    <w:p w:rsidR="001A4625" w:rsidRDefault="001A4625" w:rsidP="00817155">
      <w:pPr>
        <w:widowControl/>
        <w:numPr>
          <w:ilvl w:val="0"/>
          <w:numId w:val="8"/>
        </w:numPr>
        <w:rPr>
          <w:rFonts w:ascii="Arial" w:hAnsi="Arial" w:cs="Arial"/>
          <w:szCs w:val="24"/>
        </w:rPr>
      </w:pPr>
      <w:r>
        <w:rPr>
          <w:rFonts w:ascii="Arial" w:hAnsi="Arial" w:cs="Arial"/>
          <w:szCs w:val="24"/>
        </w:rPr>
        <w:t xml:space="preserve">Solel, Inc. will ensure that all contractors transport, store, and handle all geotechnical sampling materials that may be considered hazardous in a manner consistent with relevant regulations in the California Code of Regulations and guidelines established by the California Regional Water Quality Control Board prior to implementing any geotechnical sampling work. </w:t>
      </w:r>
    </w:p>
    <w:p w:rsidR="001A4625" w:rsidRDefault="001A4625" w:rsidP="00817155">
      <w:pPr>
        <w:widowControl/>
        <w:ind w:left="1800"/>
        <w:rPr>
          <w:rFonts w:ascii="Arial" w:hAnsi="Arial" w:cs="Arial"/>
          <w:szCs w:val="24"/>
        </w:rPr>
      </w:pPr>
    </w:p>
    <w:p w:rsidR="001A4625" w:rsidRDefault="001A4625" w:rsidP="00817155">
      <w:pPr>
        <w:widowControl/>
        <w:numPr>
          <w:ilvl w:val="0"/>
          <w:numId w:val="8"/>
        </w:numPr>
        <w:rPr>
          <w:rFonts w:ascii="Arial" w:hAnsi="Arial" w:cs="Arial"/>
          <w:szCs w:val="24"/>
        </w:rPr>
      </w:pPr>
      <w:r>
        <w:rPr>
          <w:rFonts w:ascii="Arial" w:hAnsi="Arial" w:cs="Arial"/>
          <w:szCs w:val="24"/>
        </w:rPr>
        <w:t>Solel, Inc. will develop an emergency response plan for any potential mishaps that may occur during the routine transport, use, storage, handling and/or disposal of hazardous materials.</w:t>
      </w:r>
    </w:p>
    <w:p w:rsidR="001A4625" w:rsidRDefault="001A4625" w:rsidP="00817155">
      <w:pPr>
        <w:rPr>
          <w:rFonts w:ascii="Arial" w:hAnsi="Arial" w:cs="Arial"/>
          <w:szCs w:val="24"/>
        </w:rPr>
      </w:pPr>
    </w:p>
    <w:p w:rsidR="001A4625" w:rsidRDefault="001A4625" w:rsidP="00817155">
      <w:pPr>
        <w:ind w:left="1440" w:hanging="720"/>
        <w:rPr>
          <w:rFonts w:ascii="Arial" w:hAnsi="Arial"/>
        </w:rPr>
      </w:pPr>
      <w:r>
        <w:rPr>
          <w:rFonts w:ascii="Arial" w:hAnsi="Arial"/>
        </w:rPr>
        <w:t>2.</w:t>
      </w:r>
      <w:r>
        <w:rPr>
          <w:rFonts w:ascii="Arial" w:hAnsi="Arial"/>
        </w:rPr>
        <w:tab/>
        <w:t>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6, Information Collection, Title 14, California Code of Regulations, section 15306.</w:t>
      </w:r>
    </w:p>
    <w:p w:rsidR="001A4625" w:rsidRDefault="001A4625" w:rsidP="00817155">
      <w:pPr>
        <w:ind w:left="1440" w:hanging="720"/>
        <w:rPr>
          <w:rFonts w:ascii="Arial" w:hAnsi="Arial"/>
        </w:rPr>
      </w:pPr>
    </w:p>
    <w:p w:rsidR="001A4625" w:rsidRDefault="001A4625" w:rsidP="00817155">
      <w:pPr>
        <w:tabs>
          <w:tab w:val="left" w:pos="2880"/>
          <w:tab w:val="left" w:pos="3600"/>
        </w:tabs>
        <w:ind w:left="2880" w:hanging="1440"/>
        <w:rPr>
          <w:rFonts w:ascii="Arial" w:hAnsi="Arial"/>
        </w:rPr>
      </w:pPr>
      <w:r>
        <w:rPr>
          <w:rFonts w:ascii="Arial" w:hAnsi="Arial"/>
        </w:rPr>
        <w:t>Authority:</w:t>
      </w:r>
      <w:r>
        <w:rPr>
          <w:rFonts w:ascii="Arial" w:hAnsi="Arial"/>
        </w:rPr>
        <w:tab/>
        <w:t>Public Resources Code section 21084 and Title 14, California Code of Regulations, section 15300.</w:t>
      </w:r>
    </w:p>
    <w:p w:rsidR="001A4625" w:rsidRDefault="001A4625" w:rsidP="00817155">
      <w:pPr>
        <w:rPr>
          <w:rFonts w:ascii="Arial" w:hAnsi="Arial"/>
        </w:rPr>
      </w:pPr>
    </w:p>
    <w:p w:rsidR="001A4625" w:rsidRDefault="001A4625" w:rsidP="00817155">
      <w:pPr>
        <w:rPr>
          <w:rFonts w:ascii="Arial" w:hAnsi="Arial"/>
        </w:rPr>
      </w:pPr>
    </w:p>
    <w:p w:rsidR="001A4625" w:rsidRDefault="001A4625" w:rsidP="00817155">
      <w:pPr>
        <w:ind w:left="1440" w:hanging="720"/>
        <w:rPr>
          <w:rFonts w:ascii="Arial" w:hAnsi="Arial"/>
        </w:rPr>
      </w:pPr>
      <w:r>
        <w:rPr>
          <w:rFonts w:ascii="Arial" w:hAnsi="Arial"/>
        </w:rPr>
        <w:t>3.</w:t>
      </w:r>
      <w:r>
        <w:rPr>
          <w:rFonts w:ascii="Arial" w:hAnsi="Arial"/>
        </w:rPr>
        <w:tab/>
        <w:t>This activity involves lands which have been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1A4625" w:rsidRDefault="001A4625" w:rsidP="00817155">
      <w:pPr>
        <w:ind w:left="1440" w:hanging="720"/>
        <w:rPr>
          <w:rFonts w:ascii="Arial" w:hAnsi="Arial"/>
        </w:rPr>
      </w:pPr>
    </w:p>
    <w:p w:rsidR="001A4625" w:rsidRDefault="001A4625" w:rsidP="00817155">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EXHIBITS:</w:t>
      </w:r>
    </w:p>
    <w:p w:rsidR="001A4625" w:rsidRDefault="001A4625" w:rsidP="00817155">
      <w:pPr>
        <w:numPr>
          <w:ilvl w:val="0"/>
          <w:numId w:val="4"/>
        </w:numPr>
        <w:tabs>
          <w:tab w:val="left" w:pos="-1080"/>
          <w:tab w:val="left" w:pos="-720"/>
          <w:tab w:val="left" w:pos="720"/>
          <w:tab w:val="left" w:pos="2610"/>
          <w:tab w:val="left" w:pos="4680"/>
          <w:tab w:val="left" w:pos="7560"/>
        </w:tabs>
        <w:rPr>
          <w:rFonts w:ascii="Arial" w:hAnsi="Arial"/>
        </w:rPr>
      </w:pPr>
      <w:r>
        <w:rPr>
          <w:rFonts w:ascii="Arial" w:hAnsi="Arial"/>
        </w:rPr>
        <w:t>Location Map</w:t>
      </w:r>
    </w:p>
    <w:p w:rsidR="001A4625" w:rsidRDefault="001A4625" w:rsidP="00817155">
      <w:pPr>
        <w:tabs>
          <w:tab w:val="left" w:pos="-1080"/>
          <w:tab w:val="left" w:pos="-720"/>
          <w:tab w:val="left" w:pos="720"/>
          <w:tab w:val="left" w:pos="2610"/>
          <w:tab w:val="left" w:pos="4680"/>
          <w:tab w:val="left" w:pos="7560"/>
        </w:tabs>
        <w:ind w:left="720"/>
        <w:rPr>
          <w:rFonts w:ascii="Arial" w:hAnsi="Arial"/>
        </w:rPr>
      </w:pPr>
      <w:r>
        <w:rPr>
          <w:rFonts w:ascii="Arial" w:hAnsi="Arial"/>
        </w:rPr>
        <w:t>A1.    Land Description: Sample Site Locations</w:t>
      </w:r>
    </w:p>
    <w:p w:rsidR="001A4625" w:rsidRDefault="001A4625" w:rsidP="00817155">
      <w:pPr>
        <w:tabs>
          <w:tab w:val="left" w:pos="-1080"/>
          <w:tab w:val="left" w:pos="-720"/>
          <w:tab w:val="left" w:pos="720"/>
          <w:tab w:val="left" w:pos="1320"/>
          <w:tab w:val="left" w:pos="2610"/>
          <w:tab w:val="left" w:pos="4680"/>
          <w:tab w:val="left" w:pos="7560"/>
        </w:tabs>
        <w:rPr>
          <w:rFonts w:ascii="Arial" w:hAnsi="Arial"/>
        </w:rPr>
      </w:pPr>
    </w:p>
    <w:p w:rsidR="001A4625" w:rsidRDefault="001A4625" w:rsidP="00817155">
      <w:pPr>
        <w:tabs>
          <w:tab w:val="left" w:pos="-1080"/>
          <w:tab w:val="left" w:pos="-720"/>
          <w:tab w:val="left" w:pos="720"/>
          <w:tab w:val="left" w:pos="1320"/>
          <w:tab w:val="left" w:pos="2610"/>
          <w:tab w:val="left" w:pos="4680"/>
          <w:tab w:val="left" w:pos="7560"/>
        </w:tabs>
        <w:rPr>
          <w:rFonts w:ascii="Arial" w:hAnsi="Arial"/>
        </w:rPr>
      </w:pPr>
      <w:r>
        <w:rPr>
          <w:rFonts w:ascii="Arial" w:hAnsi="Arial"/>
          <w:b/>
        </w:rPr>
        <w:t>PERMIT STREAMLINING ACT DEADLINE:</w:t>
      </w:r>
    </w:p>
    <w:p w:rsidR="001A4625" w:rsidRDefault="001A4625" w:rsidP="00817155">
      <w:pPr>
        <w:tabs>
          <w:tab w:val="left" w:pos="-1080"/>
          <w:tab w:val="left" w:pos="-720"/>
          <w:tab w:val="left" w:pos="720"/>
          <w:tab w:val="left" w:pos="1320"/>
          <w:tab w:val="left" w:pos="2610"/>
          <w:tab w:val="left" w:pos="4680"/>
          <w:tab w:val="left" w:pos="7560"/>
        </w:tabs>
        <w:ind w:firstLine="720"/>
        <w:rPr>
          <w:rFonts w:ascii="Arial" w:hAnsi="Arial" w:cs="Arial"/>
          <w:szCs w:val="24"/>
        </w:rPr>
      </w:pPr>
      <w:r>
        <w:rPr>
          <w:rFonts w:ascii="Arial" w:hAnsi="Arial" w:cs="Arial"/>
          <w:szCs w:val="24"/>
        </w:rPr>
        <w:t xml:space="preserve">February 19, 2009. </w:t>
      </w:r>
    </w:p>
    <w:p w:rsidR="001A4625" w:rsidRDefault="001A4625" w:rsidP="00817155">
      <w:pPr>
        <w:tabs>
          <w:tab w:val="left" w:pos="-1080"/>
          <w:tab w:val="left" w:pos="-720"/>
          <w:tab w:val="left" w:pos="720"/>
          <w:tab w:val="left" w:pos="1320"/>
          <w:tab w:val="left" w:pos="2610"/>
          <w:tab w:val="left" w:pos="4680"/>
          <w:tab w:val="left" w:pos="7560"/>
        </w:tabs>
        <w:ind w:firstLine="720"/>
        <w:rPr>
          <w:rFonts w:ascii="Arial" w:hAnsi="Arial"/>
        </w:rPr>
      </w:pPr>
    </w:p>
    <w:p w:rsidR="001A4625" w:rsidRDefault="001A4625" w:rsidP="00817155">
      <w:pPr>
        <w:tabs>
          <w:tab w:val="left" w:pos="-1080"/>
          <w:tab w:val="left" w:pos="-720"/>
          <w:tab w:val="left" w:pos="720"/>
          <w:tab w:val="left" w:pos="1320"/>
          <w:tab w:val="left" w:pos="2610"/>
          <w:tab w:val="left" w:pos="4680"/>
          <w:tab w:val="left" w:pos="7560"/>
        </w:tabs>
        <w:rPr>
          <w:rFonts w:ascii="Arial" w:hAnsi="Arial"/>
          <w:b/>
        </w:rPr>
      </w:pPr>
      <w:r>
        <w:rPr>
          <w:rFonts w:ascii="Arial" w:hAnsi="Arial"/>
          <w:b/>
        </w:rPr>
        <w:t>RECOMMENDED ACTIONS:</w:t>
      </w:r>
    </w:p>
    <w:p w:rsidR="001A4625" w:rsidRDefault="001A4625" w:rsidP="00817155">
      <w:pPr>
        <w:tabs>
          <w:tab w:val="left" w:pos="-1080"/>
          <w:tab w:val="left" w:pos="-720"/>
          <w:tab w:val="left" w:pos="720"/>
          <w:tab w:val="left" w:pos="1320"/>
          <w:tab w:val="left" w:pos="2610"/>
          <w:tab w:val="left" w:pos="4680"/>
          <w:tab w:val="left" w:pos="7560"/>
        </w:tabs>
        <w:rPr>
          <w:rFonts w:ascii="Arial" w:hAnsi="Arial"/>
        </w:rPr>
      </w:pPr>
      <w:r>
        <w:rPr>
          <w:rFonts w:ascii="Arial" w:hAnsi="Arial"/>
        </w:rPr>
        <w:t>IT IS RECOMMENDED THAT THE COMMISSION:</w:t>
      </w:r>
    </w:p>
    <w:p w:rsidR="001A4625" w:rsidRDefault="001A4625" w:rsidP="00817155">
      <w:pPr>
        <w:tabs>
          <w:tab w:val="left" w:pos="-1080"/>
          <w:tab w:val="left" w:pos="-720"/>
          <w:tab w:val="left" w:pos="720"/>
          <w:tab w:val="left" w:pos="1320"/>
          <w:tab w:val="left" w:pos="2610"/>
          <w:tab w:val="left" w:pos="4680"/>
          <w:tab w:val="left" w:pos="7560"/>
        </w:tabs>
        <w:rPr>
          <w:rFonts w:ascii="Arial" w:hAnsi="Arial"/>
        </w:rPr>
      </w:pPr>
    </w:p>
    <w:p w:rsidR="001A4625" w:rsidRDefault="001A4625" w:rsidP="00817155">
      <w:pPr>
        <w:tabs>
          <w:tab w:val="left" w:pos="-1080"/>
          <w:tab w:val="left" w:pos="-720"/>
          <w:tab w:val="left" w:pos="720"/>
          <w:tab w:val="left" w:pos="1320"/>
          <w:tab w:val="left" w:pos="2610"/>
          <w:tab w:val="left" w:pos="4680"/>
          <w:tab w:val="left" w:pos="7560"/>
        </w:tabs>
        <w:rPr>
          <w:rFonts w:ascii="Arial" w:hAnsi="Arial"/>
          <w:b/>
        </w:rPr>
      </w:pPr>
      <w:r>
        <w:rPr>
          <w:rFonts w:ascii="Arial" w:hAnsi="Arial"/>
        </w:rPr>
        <w:tab/>
      </w:r>
      <w:r>
        <w:rPr>
          <w:rFonts w:ascii="Arial" w:hAnsi="Arial"/>
          <w:b/>
        </w:rPr>
        <w:t>CEQA FINDINGS:</w:t>
      </w:r>
    </w:p>
    <w:p w:rsidR="001A4625" w:rsidRDefault="001A4625" w:rsidP="00817155">
      <w:pPr>
        <w:ind w:left="2160" w:hanging="720"/>
        <w:rPr>
          <w:rFonts w:ascii="Arial" w:hAnsi="Arial" w:cs="Arial"/>
        </w:rPr>
      </w:pPr>
      <w:r>
        <w:rPr>
          <w:rFonts w:ascii="Arial" w:hAnsi="Arial" w:cs="Arial"/>
        </w:rPr>
        <w:t>1.</w:t>
      </w:r>
      <w:r>
        <w:rPr>
          <w:rFonts w:ascii="Arial" w:hAnsi="Arial" w:cs="Arial"/>
        </w:rPr>
        <w:tab/>
        <w:t>FIND THAT THE ACTIVITY IS EXEMPT FROM THE REQUIREMENTS OF THE CEQA PURSUANT TO TITLE 14, CALIFORNIA CODE OF REGULATIONS, SECTION 15061, AS A CATEGORICALLY EXEMPT PROJECT, CLASS 6, INFORMATION COLLECTION; TITLE 14, CALIFORNIA CODE OF REGULATIONS, SECTION 15306.</w:t>
      </w:r>
    </w:p>
    <w:p w:rsidR="001A4625" w:rsidRDefault="001A4625" w:rsidP="00817155">
      <w:pPr>
        <w:ind w:left="2160" w:hanging="720"/>
        <w:rPr>
          <w:rFonts w:ascii="Arial" w:hAnsi="Arial" w:cs="Arial"/>
        </w:rPr>
      </w:pPr>
    </w:p>
    <w:p w:rsidR="001A4625" w:rsidRDefault="001A4625" w:rsidP="00817155">
      <w:pPr>
        <w:ind w:left="2160" w:hanging="720"/>
        <w:rPr>
          <w:rFonts w:ascii="Arial" w:hAnsi="Arial" w:cs="Arial"/>
        </w:rPr>
      </w:pPr>
      <w:r>
        <w:rPr>
          <w:rFonts w:ascii="Arial" w:hAnsi="Arial" w:cs="Arial"/>
        </w:rPr>
        <w:t>2.</w:t>
      </w:r>
      <w:r>
        <w:rPr>
          <w:rFonts w:ascii="Arial" w:hAnsi="Arial" w:cs="Arial"/>
        </w:rPr>
        <w:tab/>
        <w:t xml:space="preserve">FIND THAT THIS ACTIVITY IS CONSISTENT WITH THE USE CLASSIFICATION DESIGNATED BY THE COMMISSION FOR THE LAND PURSUANT TO PUBLIC RESOURCES CODE SECTIONS 6370, ET SEQ. </w:t>
      </w:r>
    </w:p>
    <w:p w:rsidR="001A4625" w:rsidRDefault="001A4625" w:rsidP="00817155">
      <w:pPr>
        <w:ind w:left="1440"/>
        <w:rPr>
          <w:rFonts w:ascii="Arial" w:hAnsi="Arial"/>
        </w:rPr>
      </w:pPr>
    </w:p>
    <w:p w:rsidR="001A4625" w:rsidRDefault="001A4625" w:rsidP="00817155">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b/>
        </w:rPr>
        <w:t>AUTHORIZATION:</w:t>
      </w:r>
    </w:p>
    <w:p w:rsidR="001A4625" w:rsidRDefault="001A4625" w:rsidP="00817155">
      <w:pPr>
        <w:tabs>
          <w:tab w:val="left" w:pos="-1080"/>
          <w:tab w:val="left" w:pos="-720"/>
          <w:tab w:val="left" w:pos="720"/>
          <w:tab w:val="left" w:pos="1320"/>
          <w:tab w:val="left" w:pos="2610"/>
          <w:tab w:val="left" w:pos="4680"/>
          <w:tab w:val="left" w:pos="7560"/>
        </w:tabs>
        <w:ind w:left="1320" w:hanging="1320"/>
        <w:rPr>
          <w:rFonts w:ascii="Arial" w:hAnsi="Arial"/>
        </w:rPr>
      </w:pPr>
      <w:r>
        <w:rPr>
          <w:rFonts w:ascii="Arial" w:hAnsi="Arial"/>
        </w:rPr>
        <w:tab/>
      </w:r>
      <w:r>
        <w:rPr>
          <w:rFonts w:ascii="Arial" w:hAnsi="Arial"/>
        </w:rPr>
        <w:tab/>
        <w:t>AUTHORIZE ISSUANCE TO SOLEL, INC.  A NON-EXCLUSIVE PERMIT TO CONDUCT GEOLOGICAL SURVEYS FOR THE PERIOD OF DECEMBER 4, 2008, THROUGH DECEMBER 3, 2010, AT THE LOCATIONS  DESIGNATED ON EXHIBITS A AND A1, ATTACHED HERETO.</w:t>
      </w:r>
    </w:p>
    <w:sectPr w:rsidR="001A4625" w:rsidSect="00F47B8B">
      <w:headerReference w:type="default" r:id="rId9"/>
      <w:endnotePr>
        <w:numFmt w:val="decimal"/>
      </w:endnotePr>
      <w:type w:val="continuous"/>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25" w:rsidRDefault="001A4625">
      <w:r>
        <w:separator/>
      </w:r>
    </w:p>
  </w:endnote>
  <w:endnote w:type="continuationSeparator" w:id="1">
    <w:p w:rsidR="001A4625" w:rsidRDefault="001A4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25" w:rsidRDefault="001A4625">
    <w:pPr>
      <w:tabs>
        <w:tab w:val="center" w:pos="4680"/>
        <w:tab w:val="right" w:pos="9360"/>
      </w:tabs>
      <w:rPr>
        <w:rFonts w:ascii="Arial" w:hAnsi="Arial"/>
      </w:rPr>
    </w:pPr>
    <w:r>
      <w:tab/>
    </w:r>
    <w:r>
      <w:rPr>
        <w:rFonts w:ascii="Arial" w:hAnsi="Arial"/>
      </w:rPr>
      <w:t>-</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4</w:t>
    </w:r>
    <w:r>
      <w:rPr>
        <w:rStyle w:val="PageNumber"/>
        <w:rFonts w:ascii="Arial" w:hAnsi="Arial"/>
      </w:rPr>
      <w:fldChar w:fldCharType="end"/>
    </w:r>
    <w:r>
      <w:rPr>
        <w:rStyle w:val="PageNumber"/>
        <w:rFonts w:ascii="Arial" w:hAnsi="Arial"/>
      </w:rPr>
      <w:t>-</w:t>
    </w:r>
  </w:p>
  <w:p w:rsidR="001A4625" w:rsidRDefault="001A462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25" w:rsidRDefault="001A4625">
      <w:r>
        <w:separator/>
      </w:r>
    </w:p>
  </w:footnote>
  <w:footnote w:type="continuationSeparator" w:id="1">
    <w:p w:rsidR="001A4625" w:rsidRDefault="001A4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25" w:rsidRDefault="001A462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25" w:rsidRDefault="001A4625">
    <w:pPr>
      <w:tabs>
        <w:tab w:val="center" w:pos="4680"/>
        <w:tab w:val="left" w:pos="7560"/>
      </w:tabs>
      <w:rPr>
        <w:rFonts w:ascii="Arial" w:hAnsi="Arial"/>
        <w:u w:val="single"/>
      </w:rPr>
    </w:pPr>
    <w:r>
      <w:tab/>
    </w:r>
    <w:r>
      <w:rPr>
        <w:rFonts w:ascii="Arial" w:hAnsi="Arial"/>
        <w:u w:val="single"/>
      </w:rPr>
      <w:t xml:space="preserve">CALENDAR ITEM NO. </w:t>
    </w:r>
    <w:r>
      <w:rPr>
        <w:rFonts w:ascii="Arial" w:hAnsi="Arial"/>
        <w:b/>
        <w:sz w:val="36"/>
        <w:u w:val="single"/>
      </w:rPr>
      <w:t xml:space="preserve">C40 </w:t>
    </w:r>
    <w:r>
      <w:rPr>
        <w:rFonts w:ascii="Arial" w:hAnsi="Arial"/>
        <w:u w:val="single"/>
      </w:rPr>
      <w:t>(CONT'D)</w:t>
    </w:r>
  </w:p>
  <w:p w:rsidR="001A4625" w:rsidRDefault="001A4625">
    <w:pPr>
      <w:tabs>
        <w:tab w:val="left" w:pos="-1440"/>
        <w:tab w:val="left" w:pos="-720"/>
        <w:tab w:val="left" w:pos="720"/>
        <w:tab w:val="left" w:pos="1320"/>
        <w:tab w:val="left" w:pos="4680"/>
        <w:tab w:val="left" w:pos="7560"/>
      </w:tabs>
      <w:rPr>
        <w:rFonts w:ascii="Arial" w:hAnsi="Arial"/>
      </w:rPr>
    </w:pPr>
  </w:p>
  <w:p w:rsidR="001A4625" w:rsidRDefault="001A4625">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2DC"/>
    <w:multiLevelType w:val="hybridMultilevel"/>
    <w:tmpl w:val="5D7AA7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6C833D6"/>
    <w:multiLevelType w:val="hybridMultilevel"/>
    <w:tmpl w:val="8DEC1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DAD0366"/>
    <w:multiLevelType w:val="hybridMultilevel"/>
    <w:tmpl w:val="0EBECA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B7D66E4"/>
    <w:multiLevelType w:val="hybridMultilevel"/>
    <w:tmpl w:val="EDE0643C"/>
    <w:lvl w:ilvl="0" w:tplc="0409000F">
      <w:start w:val="1"/>
      <w:numFmt w:val="decimal"/>
      <w:lvlText w:val="%1."/>
      <w:lvlJc w:val="left"/>
      <w:pPr>
        <w:tabs>
          <w:tab w:val="num" w:pos="2040"/>
        </w:tabs>
        <w:ind w:left="2040" w:hanging="360"/>
      </w:pPr>
      <w:rPr>
        <w:rFonts w:cs="Times New Roman"/>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4">
    <w:nsid w:val="4341453E"/>
    <w:multiLevelType w:val="hybridMultilevel"/>
    <w:tmpl w:val="7AE63F54"/>
    <w:lvl w:ilvl="0" w:tplc="AC245A80">
      <w:start w:val="1"/>
      <w:numFmt w:val="upperLetter"/>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A696DA5"/>
    <w:multiLevelType w:val="hybridMultilevel"/>
    <w:tmpl w:val="04E04DA4"/>
    <w:lvl w:ilvl="0" w:tplc="64F46A8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3FF2863"/>
    <w:multiLevelType w:val="hybridMultilevel"/>
    <w:tmpl w:val="2174B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9E53AE"/>
    <w:multiLevelType w:val="singleLevel"/>
    <w:tmpl w:val="EBA2472A"/>
    <w:lvl w:ilvl="0">
      <w:start w:val="3"/>
      <w:numFmt w:val="upperLetter"/>
      <w:lvlText w:val="%1."/>
      <w:lvlJc w:val="left"/>
      <w:pPr>
        <w:tabs>
          <w:tab w:val="num" w:pos="1320"/>
        </w:tabs>
        <w:ind w:left="1320" w:hanging="600"/>
      </w:pPr>
      <w:rPr>
        <w:rFonts w:cs="Times New Roman" w:hint="default"/>
      </w:rPr>
    </w:lvl>
  </w:abstractNum>
  <w:abstractNum w:abstractNumId="8">
    <w:nsid w:val="7A4A28FE"/>
    <w:multiLevelType w:val="singleLevel"/>
    <w:tmpl w:val="B926859E"/>
    <w:lvl w:ilvl="0">
      <w:start w:val="1"/>
      <w:numFmt w:val="decimal"/>
      <w:lvlText w:val="%1."/>
      <w:lvlJc w:val="left"/>
      <w:pPr>
        <w:tabs>
          <w:tab w:val="num" w:pos="1320"/>
        </w:tabs>
        <w:ind w:left="1320" w:hanging="600"/>
      </w:pPr>
      <w:rPr>
        <w:rFonts w:cs="Times New Roman" w:hint="default"/>
      </w:rPr>
    </w:lvl>
  </w:abstractNum>
  <w:num w:numId="1">
    <w:abstractNumId w:val="7"/>
  </w:num>
  <w:num w:numId="2">
    <w:abstractNumId w:val="8"/>
  </w:num>
  <w:num w:numId="3">
    <w:abstractNumId w:val="3"/>
  </w:num>
  <w:num w:numId="4">
    <w:abstractNumId w:val="4"/>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B6"/>
    <w:rsid w:val="00057663"/>
    <w:rsid w:val="00093009"/>
    <w:rsid w:val="001A4625"/>
    <w:rsid w:val="00206094"/>
    <w:rsid w:val="0023487C"/>
    <w:rsid w:val="0033349E"/>
    <w:rsid w:val="00722EB6"/>
    <w:rsid w:val="00817155"/>
    <w:rsid w:val="00B44D89"/>
    <w:rsid w:val="00C64D3D"/>
    <w:rsid w:val="00D2754C"/>
    <w:rsid w:val="00D3650A"/>
    <w:rsid w:val="00DE158C"/>
    <w:rsid w:val="00ED1FE9"/>
    <w:rsid w:val="00F47B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89"/>
    <w:pPr>
      <w:widowControl w:val="0"/>
    </w:pPr>
    <w:rPr>
      <w:rFonts w:ascii="Courier" w:hAnsi="Courier"/>
      <w:sz w:val="24"/>
      <w:szCs w:val="20"/>
    </w:rPr>
  </w:style>
  <w:style w:type="paragraph" w:styleId="Heading1">
    <w:name w:val="heading 1"/>
    <w:basedOn w:val="Normal"/>
    <w:next w:val="Normal"/>
    <w:link w:val="Heading1Char"/>
    <w:uiPriority w:val="99"/>
    <w:qFormat/>
    <w:rsid w:val="00B44D89"/>
    <w:pPr>
      <w:keepNext/>
      <w:tabs>
        <w:tab w:val="center" w:pos="4680"/>
        <w:tab w:val="left" w:pos="7560"/>
      </w:tabs>
      <w:jc w:val="center"/>
      <w:outlineLvl w:val="0"/>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D89"/>
    <w:rPr>
      <w:rFonts w:ascii="Cambria" w:hAnsi="Cambria" w:cs="Times New Roman"/>
      <w:b/>
      <w:bCs/>
      <w:kern w:val="32"/>
      <w:sz w:val="32"/>
      <w:szCs w:val="32"/>
    </w:rPr>
  </w:style>
  <w:style w:type="character" w:styleId="FootnoteReference">
    <w:name w:val="footnote reference"/>
    <w:basedOn w:val="DefaultParagraphFont"/>
    <w:uiPriority w:val="99"/>
    <w:semiHidden/>
    <w:rsid w:val="00B44D89"/>
    <w:rPr>
      <w:rFonts w:cs="Times New Roman"/>
    </w:rPr>
  </w:style>
  <w:style w:type="paragraph" w:styleId="Title">
    <w:name w:val="Title"/>
    <w:basedOn w:val="Normal"/>
    <w:link w:val="TitleChar"/>
    <w:uiPriority w:val="99"/>
    <w:qFormat/>
    <w:rsid w:val="00B44D89"/>
    <w:pPr>
      <w:tabs>
        <w:tab w:val="center" w:pos="4680"/>
        <w:tab w:val="left" w:pos="7560"/>
      </w:tabs>
      <w:jc w:val="center"/>
    </w:pPr>
    <w:rPr>
      <w:rFonts w:ascii="Arial" w:hAnsi="Arial"/>
      <w:b/>
    </w:rPr>
  </w:style>
  <w:style w:type="character" w:customStyle="1" w:styleId="TitleChar">
    <w:name w:val="Title Char"/>
    <w:basedOn w:val="DefaultParagraphFont"/>
    <w:link w:val="Title"/>
    <w:uiPriority w:val="99"/>
    <w:locked/>
    <w:rsid w:val="00B44D89"/>
    <w:rPr>
      <w:rFonts w:ascii="Cambria" w:hAnsi="Cambria" w:cs="Times New Roman"/>
      <w:b/>
      <w:bCs/>
      <w:kern w:val="28"/>
      <w:sz w:val="32"/>
      <w:szCs w:val="32"/>
    </w:rPr>
  </w:style>
  <w:style w:type="paragraph" w:styleId="Subtitle">
    <w:name w:val="Subtitle"/>
    <w:basedOn w:val="Normal"/>
    <w:link w:val="SubtitleChar"/>
    <w:uiPriority w:val="99"/>
    <w:qFormat/>
    <w:rsid w:val="00B44D89"/>
    <w:pPr>
      <w:tabs>
        <w:tab w:val="center" w:pos="4680"/>
        <w:tab w:val="left" w:pos="7560"/>
      </w:tabs>
      <w:jc w:val="center"/>
    </w:pPr>
    <w:rPr>
      <w:rFonts w:ascii="Arial" w:hAnsi="Arial"/>
      <w:b/>
      <w:sz w:val="36"/>
    </w:rPr>
  </w:style>
  <w:style w:type="character" w:customStyle="1" w:styleId="SubtitleChar">
    <w:name w:val="Subtitle Char"/>
    <w:basedOn w:val="DefaultParagraphFont"/>
    <w:link w:val="Subtitle"/>
    <w:uiPriority w:val="99"/>
    <w:locked/>
    <w:rsid w:val="00B44D89"/>
    <w:rPr>
      <w:rFonts w:ascii="Cambria" w:hAnsi="Cambria" w:cs="Times New Roman"/>
      <w:sz w:val="24"/>
      <w:szCs w:val="24"/>
    </w:rPr>
  </w:style>
  <w:style w:type="paragraph" w:styleId="BodyTextIndent">
    <w:name w:val="Body Text Indent"/>
    <w:basedOn w:val="Normal"/>
    <w:link w:val="BodyTextIndentChar"/>
    <w:uiPriority w:val="99"/>
    <w:rsid w:val="00B44D89"/>
    <w:pPr>
      <w:tabs>
        <w:tab w:val="left" w:pos="-1080"/>
        <w:tab w:val="left" w:pos="-720"/>
        <w:tab w:val="left" w:pos="720"/>
        <w:tab w:val="left" w:pos="1440"/>
        <w:tab w:val="left" w:pos="4680"/>
        <w:tab w:val="left" w:pos="7560"/>
      </w:tabs>
      <w:ind w:left="1440" w:hanging="720"/>
    </w:pPr>
    <w:rPr>
      <w:rFonts w:ascii="Arial" w:hAnsi="Arial"/>
    </w:rPr>
  </w:style>
  <w:style w:type="character" w:customStyle="1" w:styleId="BodyTextIndentChar">
    <w:name w:val="Body Text Indent Char"/>
    <w:basedOn w:val="DefaultParagraphFont"/>
    <w:link w:val="BodyTextIndent"/>
    <w:uiPriority w:val="99"/>
    <w:semiHidden/>
    <w:locked/>
    <w:rsid w:val="00B44D89"/>
    <w:rPr>
      <w:rFonts w:ascii="Courier" w:hAnsi="Courier" w:cs="Times New Roman"/>
      <w:sz w:val="20"/>
      <w:szCs w:val="20"/>
    </w:rPr>
  </w:style>
  <w:style w:type="paragraph" w:styleId="BodyTextIndent2">
    <w:name w:val="Body Text Indent 2"/>
    <w:basedOn w:val="Normal"/>
    <w:link w:val="BodyTextIndent2Char"/>
    <w:uiPriority w:val="99"/>
    <w:rsid w:val="00B44D89"/>
    <w:pPr>
      <w:tabs>
        <w:tab w:val="left" w:pos="-1080"/>
        <w:tab w:val="left" w:pos="-720"/>
        <w:tab w:val="left" w:pos="720"/>
        <w:tab w:val="left" w:pos="1320"/>
        <w:tab w:val="left" w:pos="1440"/>
        <w:tab w:val="left" w:pos="4680"/>
        <w:tab w:val="left" w:pos="7560"/>
      </w:tabs>
      <w:ind w:left="1440"/>
    </w:pPr>
    <w:rPr>
      <w:rFonts w:ascii="Arial" w:hAnsi="Arial"/>
    </w:rPr>
  </w:style>
  <w:style w:type="character" w:customStyle="1" w:styleId="BodyTextIndent2Char">
    <w:name w:val="Body Text Indent 2 Char"/>
    <w:basedOn w:val="DefaultParagraphFont"/>
    <w:link w:val="BodyTextIndent2"/>
    <w:uiPriority w:val="99"/>
    <w:semiHidden/>
    <w:locked/>
    <w:rsid w:val="00B44D89"/>
    <w:rPr>
      <w:rFonts w:ascii="Courier" w:hAnsi="Courier" w:cs="Times New Roman"/>
      <w:sz w:val="20"/>
      <w:szCs w:val="20"/>
    </w:rPr>
  </w:style>
  <w:style w:type="paragraph" w:styleId="Header">
    <w:name w:val="header"/>
    <w:basedOn w:val="Normal"/>
    <w:link w:val="HeaderChar"/>
    <w:uiPriority w:val="99"/>
    <w:rsid w:val="00B44D89"/>
    <w:pPr>
      <w:tabs>
        <w:tab w:val="center" w:pos="4320"/>
        <w:tab w:val="right" w:pos="8640"/>
      </w:tabs>
    </w:pPr>
  </w:style>
  <w:style w:type="character" w:customStyle="1" w:styleId="HeaderChar">
    <w:name w:val="Header Char"/>
    <w:basedOn w:val="DefaultParagraphFont"/>
    <w:link w:val="Header"/>
    <w:uiPriority w:val="99"/>
    <w:semiHidden/>
    <w:locked/>
    <w:rsid w:val="00B44D89"/>
    <w:rPr>
      <w:rFonts w:ascii="Courier" w:hAnsi="Courier" w:cs="Times New Roman"/>
      <w:sz w:val="20"/>
      <w:szCs w:val="20"/>
    </w:rPr>
  </w:style>
  <w:style w:type="paragraph" w:styleId="Footer">
    <w:name w:val="footer"/>
    <w:basedOn w:val="Normal"/>
    <w:link w:val="FooterChar"/>
    <w:uiPriority w:val="99"/>
    <w:rsid w:val="00B44D89"/>
    <w:pPr>
      <w:tabs>
        <w:tab w:val="center" w:pos="4320"/>
        <w:tab w:val="right" w:pos="8640"/>
      </w:tabs>
    </w:pPr>
  </w:style>
  <w:style w:type="character" w:customStyle="1" w:styleId="FooterChar">
    <w:name w:val="Footer Char"/>
    <w:basedOn w:val="DefaultParagraphFont"/>
    <w:link w:val="Footer"/>
    <w:uiPriority w:val="99"/>
    <w:semiHidden/>
    <w:locked/>
    <w:rsid w:val="00B44D89"/>
    <w:rPr>
      <w:rFonts w:ascii="Courier" w:hAnsi="Courier" w:cs="Times New Roman"/>
      <w:sz w:val="20"/>
      <w:szCs w:val="20"/>
    </w:rPr>
  </w:style>
  <w:style w:type="character" w:styleId="PageNumber">
    <w:name w:val="page number"/>
    <w:basedOn w:val="DefaultParagraphFont"/>
    <w:uiPriority w:val="99"/>
    <w:rsid w:val="00B44D89"/>
    <w:rPr>
      <w:rFonts w:cs="Times New Roman"/>
    </w:rPr>
  </w:style>
  <w:style w:type="paragraph" w:styleId="BalloonText">
    <w:name w:val="Balloon Text"/>
    <w:basedOn w:val="Normal"/>
    <w:link w:val="BalloonTextChar"/>
    <w:uiPriority w:val="99"/>
    <w:semiHidden/>
    <w:rsid w:val="00B44D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D8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ya\Local%20Settings\Temporary%20Internet%20Files\Content.MSO\F84138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F84138CB.dot</Template>
  <TotalTime>9</TotalTime>
  <Pages>4</Pages>
  <Words>1071</Words>
  <Characters>6105</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Survey Permit</dc:title>
  <dc:subject/>
  <dc:creator>Richard Greenwood</dc:creator>
  <cp:keywords/>
  <dc:description/>
  <cp:lastModifiedBy>Lynda Smallwood</cp:lastModifiedBy>
  <cp:revision>9</cp:revision>
  <cp:lastPrinted>2008-11-14T00:11:00Z</cp:lastPrinted>
  <dcterms:created xsi:type="dcterms:W3CDTF">2008-11-07T20:48:00Z</dcterms:created>
  <dcterms:modified xsi:type="dcterms:W3CDTF">2008-11-20T21:41:00Z</dcterms:modified>
</cp:coreProperties>
</file>